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A3D2E3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A03C2">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F6488D">
        <w:rPr>
          <w:bCs/>
          <w:noProof w:val="0"/>
          <w:sz w:val="24"/>
          <w:szCs w:val="24"/>
        </w:rPr>
        <w:t>07824</w:t>
      </w:r>
    </w:p>
    <w:p w14:paraId="39BE00F6" w14:textId="46CF0D4F" w:rsidR="00CD4C7B" w:rsidRPr="00B266B0" w:rsidRDefault="009A03C2" w:rsidP="0071383F">
      <w:pPr>
        <w:pStyle w:val="Header"/>
        <w:tabs>
          <w:tab w:val="right" w:pos="9639"/>
        </w:tabs>
        <w:rPr>
          <w:bCs/>
          <w:noProof w:val="0"/>
          <w:sz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49379CFB" w14:textId="77777777" w:rsidR="00CD4C7B" w:rsidRPr="00B266B0" w:rsidRDefault="00CD4C7B" w:rsidP="00CD4C7B">
      <w:pPr>
        <w:pStyle w:val="Header"/>
        <w:rPr>
          <w:bCs/>
          <w:noProof w:val="0"/>
          <w:sz w:val="24"/>
        </w:rPr>
      </w:pPr>
    </w:p>
    <w:p w14:paraId="758E2B30" w14:textId="630A316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03C2">
        <w:rPr>
          <w:rFonts w:cs="Arial"/>
          <w:b/>
          <w:bCs/>
          <w:sz w:val="24"/>
          <w:lang w:eastAsia="ja-JP"/>
        </w:rPr>
        <w:t>10.2.6.2</w:t>
      </w:r>
    </w:p>
    <w:p w14:paraId="6A1BC0C1" w14:textId="685C510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92616E">
        <w:rPr>
          <w:rFonts w:ascii="Arial" w:hAnsi="Arial" w:cs="Arial"/>
          <w:b/>
          <w:bCs/>
          <w:sz w:val="24"/>
        </w:rPr>
        <w:t>Nokia</w:t>
      </w:r>
      <w:r w:rsidR="00090468">
        <w:rPr>
          <w:rFonts w:ascii="Arial" w:hAnsi="Arial" w:cs="Arial"/>
          <w:b/>
          <w:bCs/>
          <w:sz w:val="24"/>
        </w:rPr>
        <w:t xml:space="preserve"> Shanghai Bell</w:t>
      </w:r>
    </w:p>
    <w:p w14:paraId="45BE90BE" w14:textId="31E788C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178FC" w:rsidRPr="00E178FC">
        <w:rPr>
          <w:rFonts w:ascii="Arial" w:hAnsi="Arial" w:cs="Arial"/>
          <w:b/>
          <w:bCs/>
          <w:sz w:val="24"/>
        </w:rPr>
        <w:t>UE category for EN-DC</w:t>
      </w:r>
      <w:bookmarkStart w:id="1" w:name="_GoBack"/>
      <w:bookmarkEnd w:id="1"/>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0147849" w14:textId="6AD93CD9" w:rsidR="00FD5F6F" w:rsidRDefault="00063C02" w:rsidP="00063C02">
      <w:r>
        <w:t>In response to the questions raised in RAN2 LS</w:t>
      </w:r>
      <w:r w:rsidR="00FD5F6F">
        <w:t xml:space="preserve"> [1]</w:t>
      </w:r>
      <w:r>
        <w:t>, RAN concluded</w:t>
      </w:r>
      <w:r w:rsidR="00FD5F6F">
        <w:t xml:space="preserve"> the following [2]:</w:t>
      </w:r>
    </w:p>
    <w:p w14:paraId="0FA47240" w14:textId="77777777" w:rsidR="00FD5F6F" w:rsidRPr="00FD5F6F" w:rsidRDefault="00FD5F6F" w:rsidP="00FD5F6F">
      <w:pPr>
        <w:pStyle w:val="Header"/>
        <w:rPr>
          <w:rFonts w:cs="Arial"/>
          <w:b w:val="0"/>
          <w:i/>
        </w:rPr>
      </w:pPr>
      <w:r w:rsidRPr="00FD5F6F">
        <w:rPr>
          <w:rFonts w:cs="Arial"/>
          <w:b w:val="0"/>
          <w:i/>
        </w:rPr>
        <w:t>1) The necessity of UE categories for UE in the LTE-NR DC (Opt. 3/4/7) as well as the NR standalone (Opt. 2)</w:t>
      </w:r>
    </w:p>
    <w:p w14:paraId="32BFCCB4" w14:textId="77777777" w:rsidR="00FD5F6F" w:rsidRPr="00FD5F6F" w:rsidRDefault="00FD5F6F" w:rsidP="00FD5F6F">
      <w:pPr>
        <w:pStyle w:val="Header"/>
        <w:rPr>
          <w:rFonts w:cs="Arial"/>
          <w:b w:val="0"/>
        </w:rPr>
      </w:pPr>
    </w:p>
    <w:p w14:paraId="35409B8C" w14:textId="77777777" w:rsidR="00FD5F6F" w:rsidRPr="00FD5F6F" w:rsidRDefault="00FD5F6F" w:rsidP="00FD5F6F">
      <w:pPr>
        <w:pStyle w:val="Header"/>
        <w:rPr>
          <w:rFonts w:cs="Arial"/>
          <w:b w:val="0"/>
          <w:i/>
        </w:rPr>
      </w:pPr>
      <w:r w:rsidRPr="00FD5F6F">
        <w:rPr>
          <w:rFonts w:cs="Arial"/>
          <w:b w:val="0"/>
          <w:i/>
        </w:rPr>
        <w:t>2) The target peak data rate in DL and UL to be supported for Option 3 until December 2017.</w:t>
      </w:r>
    </w:p>
    <w:p w14:paraId="79CF5E05" w14:textId="63735AAF" w:rsidR="005C07D2" w:rsidRDefault="005C07D2" w:rsidP="00063C02"/>
    <w:p w14:paraId="28F6860C" w14:textId="4B2429D9" w:rsidR="005C07D2" w:rsidRDefault="005C07D2" w:rsidP="005C07D2">
      <w:pPr>
        <w:jc w:val="both"/>
      </w:pPr>
      <w:r>
        <w:t>By this decision, t</w:t>
      </w:r>
      <w:r w:rsidRPr="005C07D2">
        <w:t>he need for LTE-NR DC UE categories indicating UE characteristics in LTE and NR deployments, as opposed to defining LTE UE categories and NR categories separately, was agreed as necessary for all LTE-NR DC deployment options (Option 3/4/7 series) commercialisation and the marketing purpose</w:t>
      </w:r>
      <w:r>
        <w:t>.</w:t>
      </w:r>
    </w:p>
    <w:p w14:paraId="45B68DF2" w14:textId="2F58A2B2" w:rsidR="00B87440" w:rsidRDefault="00FD5F6F" w:rsidP="00B87440">
      <w:pPr>
        <w:jc w:val="both"/>
      </w:pPr>
      <w:r w:rsidRPr="005C07D2">
        <w:t xml:space="preserve">In </w:t>
      </w:r>
      <w:r w:rsidR="005C07D2" w:rsidRPr="005C07D2">
        <w:t>this context,</w:t>
      </w:r>
      <w:r w:rsidRPr="005C07D2">
        <w:t xml:space="preserve"> RAN2 AH#2</w:t>
      </w:r>
      <w:r w:rsidR="005C07D2" w:rsidRPr="005C07D2">
        <w:t xml:space="preserve"> agreed discuss whether</w:t>
      </w:r>
      <w:r w:rsidR="00E071E0">
        <w:t xml:space="preserve"> really</w:t>
      </w:r>
      <w:r w:rsidR="005C07D2" w:rsidRPr="005C07D2">
        <w:t xml:space="preserve"> a different category for EN-DC would be needed (for case the EN-DC capability is different from the sum of LTE and NR category).</w:t>
      </w:r>
      <w:r w:rsidR="00B87440">
        <w:t xml:space="preserve"> While the overall discussion in RAN2 NR-AH#2 provided</w:t>
      </w:r>
      <w:r w:rsidR="00637C75">
        <w:t xml:space="preserve"> only a conclusion that a UE category for NR, indicating the peak data rate, would be ne needed, </w:t>
      </w:r>
      <w:r w:rsidR="00B87440">
        <w:t>the offline attempt to provide a consensus proposed the following</w:t>
      </w:r>
      <w:r w:rsidR="00637C75">
        <w:t xml:space="preserve"> (as indicated in </w:t>
      </w:r>
      <w:hyperlink r:id="rId12" w:history="1">
        <w:r w:rsidR="00637C75" w:rsidRPr="00B87440">
          <w:rPr>
            <w:rStyle w:val="Hyperlink"/>
          </w:rPr>
          <w:t>R2-1707484</w:t>
        </w:r>
      </w:hyperlink>
      <w:r w:rsidR="00637C75">
        <w:t>,)</w:t>
      </w:r>
      <w:r w:rsidR="00B87440">
        <w:t>:</w:t>
      </w:r>
    </w:p>
    <w:tbl>
      <w:tblPr>
        <w:tblStyle w:val="TableGrid"/>
        <w:tblW w:w="9631" w:type="dxa"/>
        <w:jc w:val="center"/>
        <w:tblLook w:val="04A0" w:firstRow="1" w:lastRow="0" w:firstColumn="1" w:lastColumn="0" w:noHBand="0" w:noVBand="1"/>
      </w:tblPr>
      <w:tblGrid>
        <w:gridCol w:w="9631"/>
      </w:tblGrid>
      <w:tr w:rsidR="00B87440" w14:paraId="52A61D30" w14:textId="77777777" w:rsidTr="00E02CFC">
        <w:trPr>
          <w:jc w:val="center"/>
        </w:trPr>
        <w:tc>
          <w:tcPr>
            <w:tcW w:w="9631" w:type="dxa"/>
          </w:tcPr>
          <w:p w14:paraId="07706571" w14:textId="77777777" w:rsidR="00B87440" w:rsidRDefault="00B87440" w:rsidP="002D4A65">
            <w:pPr>
              <w:ind w:left="1440" w:hanging="1440"/>
              <w:rPr>
                <w:rFonts w:ascii="Arial" w:hAnsi="Arial" w:cs="Arial"/>
                <w:bCs/>
              </w:rPr>
            </w:pPr>
            <w:r>
              <w:rPr>
                <w:rFonts w:ascii="Arial" w:hAnsi="Arial" w:cs="Arial"/>
                <w:bCs/>
              </w:rPr>
              <w:t>Proposal 1</w:t>
            </w:r>
            <w:r w:rsidRPr="00A43536">
              <w:rPr>
                <w:rFonts w:ascii="Arial" w:hAnsi="Arial" w:cs="Arial"/>
                <w:bCs/>
              </w:rPr>
              <w:t>:</w:t>
            </w:r>
            <w:r w:rsidRPr="00A43536">
              <w:rPr>
                <w:rFonts w:ascii="Arial" w:hAnsi="Arial" w:cs="Arial"/>
                <w:bCs/>
              </w:rPr>
              <w:tab/>
              <w:t>UE indicate</w:t>
            </w:r>
            <w:r>
              <w:rPr>
                <w:rFonts w:ascii="Arial" w:hAnsi="Arial" w:cs="Arial"/>
                <w:bCs/>
              </w:rPr>
              <w:t>s</w:t>
            </w:r>
            <w:r w:rsidRPr="00A43536">
              <w:rPr>
                <w:rFonts w:ascii="Arial" w:hAnsi="Arial" w:cs="Arial"/>
                <w:bCs/>
              </w:rPr>
              <w:t xml:space="preserve"> individual UE categories for </w:t>
            </w:r>
            <w:r>
              <w:rPr>
                <w:rFonts w:ascii="Arial" w:hAnsi="Arial" w:cs="Arial"/>
                <w:bCs/>
              </w:rPr>
              <w:t>LTE SA, NR SA.</w:t>
            </w:r>
          </w:p>
          <w:p w14:paraId="7DF0626F" w14:textId="77777777" w:rsidR="00B87440" w:rsidRPr="00EC11AB" w:rsidRDefault="00B87440" w:rsidP="002D4A65">
            <w:pPr>
              <w:ind w:left="1440" w:hanging="1440"/>
              <w:rPr>
                <w:rFonts w:ascii="Arial" w:hAnsi="Arial" w:cs="Arial"/>
                <w:bCs/>
              </w:rPr>
            </w:pPr>
            <w:r w:rsidRPr="00A43536">
              <w:rPr>
                <w:rFonts w:ascii="Arial" w:hAnsi="Arial" w:cs="Arial"/>
                <w:bCs/>
              </w:rPr>
              <w:t xml:space="preserve">Proposal </w:t>
            </w:r>
            <w:r>
              <w:rPr>
                <w:rFonts w:ascii="Arial" w:hAnsi="Arial" w:cs="Arial"/>
                <w:bCs/>
              </w:rPr>
              <w:t>2</w:t>
            </w:r>
            <w:r w:rsidRPr="00A43536">
              <w:rPr>
                <w:rFonts w:ascii="Arial" w:hAnsi="Arial" w:cs="Arial"/>
                <w:bCs/>
              </w:rPr>
              <w:t>:</w:t>
            </w:r>
            <w:r w:rsidRPr="00A43536">
              <w:rPr>
                <w:rFonts w:ascii="Arial" w:hAnsi="Arial" w:cs="Arial"/>
                <w:bCs/>
              </w:rPr>
              <w:tab/>
              <w:t xml:space="preserve">For EN-DC, UE </w:t>
            </w:r>
            <w:r>
              <w:rPr>
                <w:rFonts w:ascii="Arial" w:hAnsi="Arial" w:cs="Arial"/>
                <w:bCs/>
              </w:rPr>
              <w:t>indicates the peak data rate across LTE and NR.</w:t>
            </w:r>
          </w:p>
          <w:p w14:paraId="09FD39FC" w14:textId="77777777" w:rsidR="00B87440" w:rsidRPr="004A5F59" w:rsidRDefault="00B87440" w:rsidP="002D4A65">
            <w:pPr>
              <w:ind w:left="1440" w:hanging="1440"/>
              <w:rPr>
                <w:rFonts w:ascii="Arial" w:hAnsi="Arial" w:cs="Arial"/>
                <w:bCs/>
              </w:rPr>
            </w:pPr>
            <w:r w:rsidRPr="00A43536">
              <w:rPr>
                <w:rFonts w:ascii="Arial" w:hAnsi="Arial" w:cs="Arial"/>
                <w:bCs/>
              </w:rPr>
              <w:t xml:space="preserve">Proposal </w:t>
            </w:r>
            <w:r>
              <w:rPr>
                <w:rFonts w:ascii="Arial" w:hAnsi="Arial" w:cs="Arial"/>
                <w:bCs/>
              </w:rPr>
              <w:t>2a</w:t>
            </w:r>
            <w:r w:rsidRPr="00A43536">
              <w:rPr>
                <w:rFonts w:ascii="Arial" w:hAnsi="Arial" w:cs="Arial"/>
                <w:bCs/>
              </w:rPr>
              <w:t>:</w:t>
            </w:r>
            <w:r w:rsidRPr="00A43536">
              <w:rPr>
                <w:rFonts w:ascii="Arial" w:hAnsi="Arial" w:cs="Arial"/>
                <w:bCs/>
              </w:rPr>
              <w:tab/>
              <w:t xml:space="preserve">For EN-DC, </w:t>
            </w:r>
            <w:r>
              <w:rPr>
                <w:rFonts w:ascii="Arial" w:hAnsi="Arial" w:cs="Arial"/>
                <w:bCs/>
              </w:rPr>
              <w:t>if needed, UE</w:t>
            </w:r>
            <w:r w:rsidRPr="00A43536">
              <w:rPr>
                <w:rFonts w:ascii="Arial" w:hAnsi="Arial" w:cs="Arial"/>
                <w:bCs/>
              </w:rPr>
              <w:t xml:space="preserve"> </w:t>
            </w:r>
            <w:r>
              <w:rPr>
                <w:rFonts w:ascii="Arial" w:hAnsi="Arial" w:cs="Arial"/>
                <w:bCs/>
              </w:rPr>
              <w:t xml:space="preserve">indicates </w:t>
            </w:r>
            <w:r w:rsidRPr="00A43536">
              <w:rPr>
                <w:rFonts w:ascii="Arial" w:hAnsi="Arial" w:cs="Arial"/>
                <w:bCs/>
              </w:rPr>
              <w:t xml:space="preserve">LTE </w:t>
            </w:r>
            <w:r>
              <w:rPr>
                <w:rFonts w:ascii="Arial" w:hAnsi="Arial" w:cs="Arial"/>
                <w:bCs/>
              </w:rPr>
              <w:t xml:space="preserve">peak data rate </w:t>
            </w:r>
            <w:r w:rsidRPr="00A43536">
              <w:rPr>
                <w:rFonts w:ascii="Arial" w:hAnsi="Arial" w:cs="Arial"/>
                <w:bCs/>
              </w:rPr>
              <w:t xml:space="preserve">and NR </w:t>
            </w:r>
            <w:r>
              <w:rPr>
                <w:rFonts w:ascii="Arial" w:hAnsi="Arial" w:cs="Arial"/>
                <w:bCs/>
              </w:rPr>
              <w:t>peak data rate.</w:t>
            </w:r>
          </w:p>
        </w:tc>
      </w:tr>
    </w:tbl>
    <w:p w14:paraId="59B7F1D1" w14:textId="77777777" w:rsidR="00B40B42" w:rsidRDefault="00B40B42" w:rsidP="005C07D2">
      <w:pPr>
        <w:jc w:val="both"/>
      </w:pPr>
    </w:p>
    <w:p w14:paraId="1F107BB5" w14:textId="1705EF3F" w:rsidR="005C07D2" w:rsidRPr="005C07D2" w:rsidRDefault="00A90567" w:rsidP="005C07D2">
      <w:pPr>
        <w:jc w:val="both"/>
      </w:pPr>
      <w:r>
        <w:t xml:space="preserve">Additionally, as discussed in </w:t>
      </w:r>
      <w:hyperlink r:id="rId13" w:history="1">
        <w:r w:rsidRPr="00B40B42">
          <w:rPr>
            <w:rStyle w:val="Hyperlink"/>
          </w:rPr>
          <w:t>R2-1706603</w:t>
        </w:r>
      </w:hyperlink>
      <w:r>
        <w:t xml:space="preserve">, the UE category indications can still be RAT-specific, i.e. </w:t>
      </w:r>
      <w:r w:rsidR="00B40B42">
        <w:t>each RAT would still only need to know its own data rate limitations and not be forced to comprehend the exact UE category or capabilities of the other RAT.</w:t>
      </w:r>
    </w:p>
    <w:p w14:paraId="127ACA6D" w14:textId="6714F4A5" w:rsidR="00CD4C7B" w:rsidRDefault="00CD4C7B" w:rsidP="00CD4C7B">
      <w:pPr>
        <w:pStyle w:val="Heading1"/>
      </w:pPr>
      <w:r w:rsidRPr="005C07D2">
        <w:t>2</w:t>
      </w:r>
      <w:r w:rsidRPr="005C07D2">
        <w:tab/>
      </w:r>
      <w:r w:rsidR="00A90567">
        <w:t xml:space="preserve">UE category </w:t>
      </w:r>
      <w:r w:rsidR="00B40B42">
        <w:t xml:space="preserve">parameters and </w:t>
      </w:r>
      <w:r w:rsidR="00A90567">
        <w:t>definitions</w:t>
      </w:r>
    </w:p>
    <w:p w14:paraId="75C8EE2D" w14:textId="77777777" w:rsidR="002B2F1E" w:rsidRPr="008003C4" w:rsidRDefault="002B2F1E" w:rsidP="002B2F1E">
      <w:pPr>
        <w:pStyle w:val="Heading2"/>
      </w:pPr>
      <w:r>
        <w:t xml:space="preserve">2.1 </w:t>
      </w:r>
      <w:r>
        <w:tab/>
        <w:t>L2 buffer size dimension</w:t>
      </w:r>
    </w:p>
    <w:p w14:paraId="38661CE0" w14:textId="77777777" w:rsidR="002B2F1E" w:rsidRDefault="002B2F1E" w:rsidP="002B2F1E">
      <w:pPr>
        <w:pStyle w:val="ColorfulList-Accent11"/>
        <w:ind w:left="0"/>
        <w:jc w:val="both"/>
        <w:rPr>
          <w:rFonts w:ascii="Times New Roman" w:hAnsi="Times New Roman"/>
          <w:sz w:val="20"/>
        </w:rPr>
      </w:pPr>
      <w:r>
        <w:rPr>
          <w:rFonts w:ascii="Times New Roman" w:hAnsi="Times New Roman"/>
          <w:sz w:val="20"/>
        </w:rPr>
        <w:t>A U</w:t>
      </w:r>
      <w:r w:rsidRPr="00E8696D">
        <w:rPr>
          <w:rFonts w:ascii="Times New Roman" w:hAnsi="Times New Roman"/>
          <w:sz w:val="20"/>
        </w:rPr>
        <w:t xml:space="preserve">E Category determines </w:t>
      </w:r>
      <w:r>
        <w:rPr>
          <w:rFonts w:ascii="Times New Roman" w:hAnsi="Times New Roman"/>
          <w:sz w:val="20"/>
        </w:rPr>
        <w:t xml:space="preserve">the </w:t>
      </w:r>
      <w:r w:rsidRPr="00E8696D">
        <w:rPr>
          <w:rFonts w:ascii="Times New Roman" w:hAnsi="Times New Roman"/>
          <w:sz w:val="20"/>
        </w:rPr>
        <w:t xml:space="preserve">device’s achievable </w:t>
      </w:r>
      <w:r>
        <w:rPr>
          <w:rFonts w:ascii="Times New Roman" w:hAnsi="Times New Roman"/>
          <w:sz w:val="20"/>
        </w:rPr>
        <w:t xml:space="preserve">peak </w:t>
      </w:r>
      <w:r w:rsidRPr="00E8696D">
        <w:rPr>
          <w:rFonts w:ascii="Times New Roman" w:hAnsi="Times New Roman"/>
          <w:sz w:val="20"/>
        </w:rPr>
        <w:t>data rate</w:t>
      </w:r>
      <w:r>
        <w:rPr>
          <w:rFonts w:ascii="Times New Roman" w:hAnsi="Times New Roman"/>
          <w:sz w:val="20"/>
        </w:rPr>
        <w:t xml:space="preserve"> – the device is required to be able to reach the peak data rate indicated by the UE category in at least one band combination that it supports</w:t>
      </w:r>
      <w:r w:rsidRPr="00E8696D">
        <w:rPr>
          <w:rFonts w:ascii="Times New Roman" w:hAnsi="Times New Roman"/>
          <w:sz w:val="20"/>
        </w:rPr>
        <w:t xml:space="preserve">. </w:t>
      </w:r>
      <w:r>
        <w:rPr>
          <w:rFonts w:ascii="Times New Roman" w:hAnsi="Times New Roman"/>
          <w:sz w:val="20"/>
        </w:rPr>
        <w:t xml:space="preserve">Toi this end, the UE categories define the maximum block sizes per TTI as well as the buffering requirements (to ensure UE can sustain the peak data rate as necessary with delays that occur naturally). </w:t>
      </w:r>
    </w:p>
    <w:p w14:paraId="406E7FD6" w14:textId="77777777" w:rsidR="002B2F1E" w:rsidRDefault="002B2F1E" w:rsidP="002B2F1E">
      <w:pPr>
        <w:pStyle w:val="ColorfulList-Accent11"/>
        <w:ind w:left="0"/>
        <w:jc w:val="both"/>
        <w:rPr>
          <w:rFonts w:ascii="Times New Roman" w:hAnsi="Times New Roman"/>
          <w:sz w:val="20"/>
        </w:rPr>
      </w:pPr>
    </w:p>
    <w:p w14:paraId="6A2B1300" w14:textId="77777777" w:rsidR="002B2F1E" w:rsidRPr="00B87440" w:rsidDel="00F638E2" w:rsidRDefault="002B2F1E" w:rsidP="002B2F1E">
      <w:pPr>
        <w:pStyle w:val="ColorfulList-Accent11"/>
        <w:ind w:left="0"/>
        <w:jc w:val="both"/>
      </w:pPr>
      <w:r w:rsidRPr="00BD7C78">
        <w:rPr>
          <w:rFonts w:ascii="Times New Roman" w:hAnsi="Times New Roman" w:cs="Arial"/>
          <w:sz w:val="20"/>
          <w:lang w:val="en-GB"/>
        </w:rPr>
        <w:t xml:space="preserve">The associated with LTE-NR DC UE Category achievable data rate </w:t>
      </w:r>
      <w:r>
        <w:rPr>
          <w:rFonts w:ascii="Times New Roman" w:hAnsi="Times New Roman" w:cs="Arial"/>
          <w:sz w:val="20"/>
          <w:lang w:val="en-GB"/>
        </w:rPr>
        <w:t xml:space="preserve">should </w:t>
      </w:r>
      <w:r w:rsidRPr="00BD7C78">
        <w:rPr>
          <w:rFonts w:ascii="Times New Roman" w:hAnsi="Times New Roman" w:cs="Arial"/>
          <w:sz w:val="20"/>
          <w:lang w:val="en-GB"/>
        </w:rPr>
        <w:t xml:space="preserve">enable determination of the data peak rate in a given combination </w:t>
      </w:r>
      <w:r>
        <w:rPr>
          <w:rFonts w:ascii="Times New Roman" w:hAnsi="Times New Roman" w:cs="Arial"/>
          <w:sz w:val="20"/>
          <w:lang w:val="en-GB"/>
        </w:rPr>
        <w:t xml:space="preserve">i.e. </w:t>
      </w:r>
      <w:r w:rsidRPr="00BD7C78">
        <w:rPr>
          <w:rFonts w:ascii="Times New Roman" w:hAnsi="Times New Roman" w:cs="Arial"/>
          <w:sz w:val="20"/>
          <w:lang w:val="en-GB"/>
        </w:rPr>
        <w:t>LTE as a master and NR as a secondary node</w:t>
      </w:r>
      <w:r>
        <w:rPr>
          <w:rFonts w:ascii="Times New Roman" w:hAnsi="Times New Roman" w:cs="Arial"/>
          <w:sz w:val="20"/>
          <w:lang w:val="en-GB"/>
        </w:rPr>
        <w:t xml:space="preserve">. In this scenario </w:t>
      </w:r>
      <w:r w:rsidRPr="00E8696D">
        <w:rPr>
          <w:rFonts w:ascii="Times New Roman" w:hAnsi="Times New Roman"/>
          <w:sz w:val="20"/>
          <w:lang w:val="en-GB"/>
        </w:rPr>
        <w:t>t</w:t>
      </w:r>
      <w:r w:rsidRPr="00E8696D" w:rsidDel="00F638E2">
        <w:rPr>
          <w:rFonts w:ascii="Times New Roman" w:hAnsi="Times New Roman"/>
          <w:sz w:val="20"/>
        </w:rPr>
        <w:t xml:space="preserve">he actual achievable data rate should fulfil the formula: </w:t>
      </w:r>
    </w:p>
    <w:p w14:paraId="1184D42C" w14:textId="77777777" w:rsidR="002B2F1E" w:rsidRPr="00163CAA" w:rsidDel="00F638E2" w:rsidRDefault="002B2F1E" w:rsidP="002B2F1E">
      <w:pPr>
        <w:ind w:left="1298"/>
        <w:jc w:val="both"/>
        <w:rPr>
          <w:rFonts w:cs="Arial"/>
        </w:rPr>
      </w:pPr>
      <w:r w:rsidRPr="00163CAA" w:rsidDel="00F638E2">
        <w:rPr>
          <w:rFonts w:cs="Arial"/>
        </w:rPr>
        <w:t>-</w:t>
      </w:r>
      <w:r w:rsidRPr="00163CAA" w:rsidDel="00F638E2">
        <w:rPr>
          <w:rFonts w:ascii="Cambria Math" w:hAnsi="Cambria Math" w:cs="Arial"/>
        </w:rPr>
        <w:t xml:space="preserve"> LTE-NR UE Category achievable data rate</w:t>
      </w:r>
      <w:r w:rsidRPr="00163CAA" w:rsidDel="00F638E2">
        <w:rPr>
          <w:rFonts w:cs="Arial"/>
        </w:rPr>
        <w:t xml:space="preserve"> = f </w:t>
      </w:r>
      <w:r w:rsidRPr="00163CAA" w:rsidDel="00F638E2">
        <w:rPr>
          <w:rFonts w:ascii="Cambria Math" w:hAnsi="Cambria Math" w:cs="Arial"/>
        </w:rPr>
        <w:t>(LTE achievable bit rate in NSA configuration, NR achievable bit rate in NSA configuration)</w:t>
      </w:r>
    </w:p>
    <w:p w14:paraId="2FCC686A" w14:textId="77777777" w:rsidR="002B2F1E" w:rsidRDefault="002B2F1E" w:rsidP="002B2F1E">
      <w:pPr>
        <w:pStyle w:val="TH"/>
        <w:jc w:val="left"/>
        <w:rPr>
          <w:rFonts w:ascii="Times New Roman" w:hAnsi="Times New Roman"/>
          <w:b w:val="0"/>
        </w:rPr>
      </w:pPr>
      <w:r>
        <w:rPr>
          <w:rFonts w:ascii="Times New Roman" w:hAnsi="Times New Roman"/>
          <w:b w:val="0"/>
        </w:rPr>
        <w:lastRenderedPageBreak/>
        <w:t>There are at least 2 main options for describing the sharing of L2 buffer between LTE and NR for LTE/NR DC.</w:t>
      </w:r>
    </w:p>
    <w:p w14:paraId="4FCE6879" w14:textId="77777777" w:rsidR="002B2F1E" w:rsidRPr="000F6308" w:rsidRDefault="002B2F1E" w:rsidP="002B2F1E">
      <w:pPr>
        <w:pStyle w:val="TH"/>
        <w:jc w:val="left"/>
        <w:rPr>
          <w:rFonts w:ascii="Times New Roman" w:hAnsi="Times New Roman"/>
          <w:b w:val="0"/>
        </w:rPr>
      </w:pPr>
      <w:r w:rsidRPr="00842BA5">
        <w:rPr>
          <w:rFonts w:ascii="Times New Roman" w:hAnsi="Times New Roman"/>
        </w:rPr>
        <w:t>Option 1:</w:t>
      </w:r>
      <w:r>
        <w:rPr>
          <w:rFonts w:ascii="Times New Roman" w:hAnsi="Times New Roman"/>
        </w:rPr>
        <w:t xml:space="preserve"> </w:t>
      </w:r>
      <w:r w:rsidRPr="000F6308">
        <w:rPr>
          <w:rFonts w:ascii="Times New Roman" w:hAnsi="Times New Roman"/>
          <w:b w:val="0"/>
        </w:rPr>
        <w:t>Define the L2 buffer size capability per RAT and indicate the allowed category combinations and respective L2 buffer size by using the indices.</w:t>
      </w:r>
    </w:p>
    <w:p w14:paraId="3C8ACC1D" w14:textId="77777777" w:rsidR="002B2F1E" w:rsidRDefault="002B2F1E" w:rsidP="002B2F1E">
      <w:pPr>
        <w:pStyle w:val="TH"/>
        <w:jc w:val="left"/>
        <w:rPr>
          <w:rFonts w:ascii="Times New Roman" w:hAnsi="Times New Roman"/>
        </w:rPr>
      </w:pPr>
      <w:r w:rsidRPr="00842BA5">
        <w:rPr>
          <w:rFonts w:ascii="Times New Roman" w:hAnsi="Times New Roman"/>
        </w:rPr>
        <w:t xml:space="preserve">Option 2: </w:t>
      </w:r>
      <w:r w:rsidRPr="000F6308">
        <w:rPr>
          <w:rFonts w:ascii="Times New Roman" w:hAnsi="Times New Roman"/>
          <w:b w:val="0"/>
        </w:rPr>
        <w:t>Define the L2 buffer size capabilities by inheriting capabilities per RAT and make additional new categories for EN-DC capable UEs.</w:t>
      </w:r>
    </w:p>
    <w:p w14:paraId="33C54C6D" w14:textId="77777777" w:rsidR="002B2F1E" w:rsidRDefault="002B2F1E" w:rsidP="002B2F1E">
      <w:pPr>
        <w:pStyle w:val="TH"/>
        <w:jc w:val="both"/>
        <w:rPr>
          <w:rFonts w:ascii="Times New Roman" w:hAnsi="Times New Roman"/>
          <w:b w:val="0"/>
        </w:rPr>
      </w:pPr>
      <w:r>
        <w:rPr>
          <w:rFonts w:ascii="Times New Roman" w:hAnsi="Times New Roman"/>
          <w:b w:val="0"/>
        </w:rPr>
        <w:t>Since the NR bit rates are expected to be 5-10 time those of LTE supported rates, the L2 buffer size for NR will also have to increase by the same magnitude. While Option 2 clearly provides flexibility, it brings in additional complexity where both the nodes must clearly know how much L2 buffer the other RAT needs to consume before making their own choice. It would rather be simpler, if the index based approach describes the L2 buffer requirement for a given configuration in the form of a descriptor so that each node may make its choice independently without following detailed rules of capability consumption. From the viewpoint of standardization impacts, it might just be easier to create a EN-DC combination by agreeing the LTE and NR category which can support the same and binding them with an index.</w:t>
      </w:r>
    </w:p>
    <w:p w14:paraId="3311CDE9" w14:textId="77777777" w:rsidR="002B2F1E" w:rsidRPr="002E36C7" w:rsidRDefault="002B2F1E" w:rsidP="002B2F1E">
      <w:pPr>
        <w:pStyle w:val="ListParagraph"/>
        <w:jc w:val="both"/>
        <w:rPr>
          <w:rFonts w:ascii="Times New Roman" w:hAnsi="Times New Roman"/>
          <w:sz w:val="20"/>
        </w:rPr>
      </w:pPr>
    </w:p>
    <w:p w14:paraId="4D153517" w14:textId="77777777" w:rsidR="002B2F1E" w:rsidRDefault="002B2F1E" w:rsidP="002B2F1E">
      <w:pPr>
        <w:jc w:val="both"/>
      </w:pPr>
      <w:r>
        <w:rPr>
          <w:rFonts w:cs="Arial"/>
        </w:rPr>
        <w:t xml:space="preserve">LTE methodology </w:t>
      </w:r>
      <w:r w:rsidRPr="002E36C7">
        <w:rPr>
          <w:rFonts w:cs="Arial"/>
        </w:rPr>
        <w:t>imposes restrictions to L2 buffer size</w:t>
      </w:r>
      <w:r>
        <w:rPr>
          <w:rFonts w:cs="Arial"/>
        </w:rPr>
        <w:t xml:space="preserve"> calculation for a split bearer</w:t>
      </w:r>
      <w:r w:rsidRPr="002E36C7">
        <w:rPr>
          <w:rFonts w:cs="Arial"/>
        </w:rPr>
        <w:t xml:space="preserve">. According to RAN2 agreed buffer-size dimensioning principle for split bearer, L2 buffer size is reduced compared to data transmitted directly by the Master Node [3]. </w:t>
      </w:r>
      <w:r>
        <w:t xml:space="preserve">When considering split bearer operation for EN-DC scenarios, the achievable data rate should consider bit-stream components over MN (LTE) and SN (NR). </w:t>
      </w:r>
    </w:p>
    <w:p w14:paraId="41A29E34" w14:textId="77777777" w:rsidR="002B2F1E" w:rsidRDefault="002B2F1E" w:rsidP="002B2F1E">
      <w:pPr>
        <w:jc w:val="both"/>
      </w:pPr>
      <w:r w:rsidRPr="00E071E0">
        <w:rPr>
          <w:b/>
        </w:rPr>
        <w:t xml:space="preserve">Observation </w:t>
      </w:r>
      <w:r>
        <w:rPr>
          <w:b/>
        </w:rPr>
        <w:t>1</w:t>
      </w:r>
      <w:r>
        <w:t xml:space="preserve">: Achievable data rate in EN-DC scenarios needs to consider split-bearer operation. </w:t>
      </w:r>
    </w:p>
    <w:p w14:paraId="169C0B7B" w14:textId="77777777" w:rsidR="002B2F1E" w:rsidRDefault="002B2F1E" w:rsidP="002B2F1E">
      <w:pPr>
        <w:jc w:val="both"/>
      </w:pPr>
      <w:r>
        <w:t xml:space="preserve">The simplest option for a peak data rate in mixed deployment is a </w:t>
      </w:r>
      <w:r w:rsidRPr="005C07D2">
        <w:t xml:space="preserve">linear summary of (explicitly </w:t>
      </w:r>
      <w:r>
        <w:t>defined</w:t>
      </w:r>
      <w:r w:rsidRPr="005C07D2">
        <w:t>) achievable peak data rate</w:t>
      </w:r>
      <w:r>
        <w:t xml:space="preserve"> per RAT: </w:t>
      </w:r>
    </w:p>
    <w:p w14:paraId="7B71384F" w14:textId="77777777" w:rsidR="002B2F1E" w:rsidRDefault="002B2F1E" w:rsidP="002B2F1E">
      <w:pPr>
        <w:pStyle w:val="ListParagraph"/>
        <w:numPr>
          <w:ilvl w:val="0"/>
          <w:numId w:val="5"/>
        </w:numPr>
        <w:jc w:val="both"/>
        <w:rPr>
          <w:rFonts w:ascii="Times New Roman" w:hAnsi="Times New Roman"/>
          <w:sz w:val="20"/>
        </w:rPr>
      </w:pPr>
      <w:r w:rsidRPr="002E36C7">
        <w:rPr>
          <w:rFonts w:ascii="Times New Roman" w:hAnsi="Times New Roman"/>
          <w:sz w:val="20"/>
        </w:rPr>
        <w:t xml:space="preserve">EN-DC UE Category </w:t>
      </w:r>
      <w:r>
        <w:rPr>
          <w:rFonts w:ascii="Times New Roman" w:hAnsi="Times New Roman"/>
          <w:sz w:val="20"/>
        </w:rPr>
        <w:t>L2 buffer size</w:t>
      </w:r>
      <w:r w:rsidRPr="002E36C7">
        <w:rPr>
          <w:rFonts w:ascii="Times New Roman" w:hAnsi="Times New Roman"/>
          <w:sz w:val="20"/>
        </w:rPr>
        <w:t xml:space="preserve">=∑ (LTE UE Category </w:t>
      </w:r>
      <w:r>
        <w:rPr>
          <w:rFonts w:ascii="Times New Roman" w:hAnsi="Times New Roman"/>
          <w:sz w:val="20"/>
        </w:rPr>
        <w:t xml:space="preserve">L2 buffer size </w:t>
      </w:r>
      <w:r w:rsidRPr="002E36C7">
        <w:rPr>
          <w:rFonts w:ascii="Times New Roman" w:hAnsi="Times New Roman"/>
          <w:sz w:val="20"/>
        </w:rPr>
        <w:t>+ NR UE Category</w:t>
      </w:r>
      <w:r>
        <w:rPr>
          <w:rFonts w:ascii="Times New Roman" w:hAnsi="Times New Roman"/>
          <w:sz w:val="20"/>
        </w:rPr>
        <w:t xml:space="preserve"> L2 buffer size</w:t>
      </w:r>
      <w:r w:rsidRPr="002E36C7">
        <w:rPr>
          <w:rFonts w:ascii="Times New Roman" w:hAnsi="Times New Roman"/>
          <w:sz w:val="20"/>
        </w:rPr>
        <w:t>).</w:t>
      </w:r>
    </w:p>
    <w:p w14:paraId="418A2B9B" w14:textId="77777777" w:rsidR="002B2F1E" w:rsidRPr="00E8696D" w:rsidRDefault="002B2F1E" w:rsidP="002B2F1E">
      <w:pPr>
        <w:pStyle w:val="ListParagraph"/>
        <w:jc w:val="both"/>
        <w:rPr>
          <w:rFonts w:ascii="Times New Roman" w:hAnsi="Times New Roman" w:cs="Arial"/>
          <w:sz w:val="20"/>
          <w:lang w:val="en-GB"/>
        </w:rPr>
      </w:pPr>
    </w:p>
    <w:p w14:paraId="6CB7AB5A" w14:textId="77777777" w:rsidR="002B2F1E" w:rsidRDefault="002B2F1E" w:rsidP="002B2F1E">
      <w:pPr>
        <w:pStyle w:val="ColorfulList-Accent11"/>
        <w:ind w:left="0"/>
        <w:jc w:val="both"/>
        <w:rPr>
          <w:rFonts w:ascii="Times New Roman" w:hAnsi="Times New Roman" w:cs="Arial"/>
          <w:sz w:val="20"/>
          <w:lang w:val="en-GB"/>
        </w:rPr>
      </w:pPr>
      <w:r w:rsidRPr="00E8696D">
        <w:rPr>
          <w:rFonts w:ascii="Times New Roman" w:hAnsi="Times New Roman" w:cs="Arial"/>
          <w:sz w:val="20"/>
          <w:lang w:val="en-GB"/>
        </w:rPr>
        <w:t xml:space="preserve">However, if the restriction evaluated for split bearers in pure LTE deployments holds, the open point is if achievable data rate of EN-DC UE Category (reflected by L2 buffer size) should respect the dimensioning principle too.  For this purpose, L2 buffer size of a split bearer (of a SN) needs to be compared to data transmitted directly by the Master Node [3]. </w:t>
      </w:r>
      <w:r>
        <w:rPr>
          <w:rFonts w:ascii="Times New Roman" w:hAnsi="Times New Roman" w:cs="Arial"/>
          <w:sz w:val="20"/>
          <w:lang w:val="en-GB"/>
        </w:rPr>
        <w:t xml:space="preserve">In a generic meaning, </w:t>
      </w:r>
      <w:r w:rsidRPr="00BD7C78">
        <w:rPr>
          <w:rFonts w:ascii="Times New Roman" w:hAnsi="Times New Roman" w:cs="Arial"/>
          <w:sz w:val="20"/>
          <w:lang w:val="en-GB"/>
        </w:rPr>
        <w:t xml:space="preserve">LTE-NR UE Category achievable data rate </w:t>
      </w:r>
      <w:r>
        <w:rPr>
          <w:rFonts w:ascii="Times New Roman" w:hAnsi="Times New Roman" w:cs="Arial"/>
          <w:sz w:val="20"/>
          <w:lang w:val="en-GB"/>
        </w:rPr>
        <w:t xml:space="preserve">should reflect function of LTE and NR components, </w:t>
      </w:r>
      <w:r w:rsidRPr="00BD7C78">
        <w:rPr>
          <w:rFonts w:ascii="Times New Roman" w:hAnsi="Times New Roman" w:cs="Arial"/>
          <w:sz w:val="20"/>
          <w:lang w:val="en-GB"/>
        </w:rPr>
        <w:t xml:space="preserve">where each component considered in the subset is pertaining to given combination (i.e. LTE achievable bit rate reflects MCG as a LTE bearer and NR achievable bit rate reflects SCG (split) bearer. LTE achievable bit rate in NSA configuration may be equal to LTE achievable bit rate in SA configuration (due to transmission through MeNB). NR achievable bit rate in NSA configuration may be reduced compared to NR achievable bit rate in SA configuration (due to transmission through split bearer and reduced L2 buffer size </w:t>
      </w:r>
      <w:r>
        <w:rPr>
          <w:rFonts w:ascii="Times New Roman" w:hAnsi="Times New Roman" w:cs="Arial"/>
          <w:sz w:val="20"/>
          <w:lang w:val="en-GB"/>
        </w:rPr>
        <w:t>dimensioning</w:t>
      </w:r>
      <w:r w:rsidRPr="00BD7C78">
        <w:rPr>
          <w:rFonts w:ascii="Times New Roman" w:hAnsi="Times New Roman" w:cs="Arial"/>
          <w:sz w:val="20"/>
          <w:lang w:val="en-GB"/>
        </w:rPr>
        <w:t xml:space="preserve"> principle)</w:t>
      </w:r>
      <w:r>
        <w:rPr>
          <w:rFonts w:ascii="Times New Roman" w:hAnsi="Times New Roman" w:cs="Arial"/>
          <w:sz w:val="20"/>
          <w:lang w:val="en-GB"/>
        </w:rPr>
        <w:t xml:space="preserve">. For </w:t>
      </w:r>
      <w:r w:rsidRPr="00BD7C78">
        <w:rPr>
          <w:rFonts w:ascii="Times New Roman" w:hAnsi="Times New Roman" w:cs="Arial"/>
          <w:sz w:val="20"/>
          <w:lang w:val="en-GB"/>
        </w:rPr>
        <w:t xml:space="preserve">or simplicity: LTE-NR UE Category achievable data rate </w:t>
      </w:r>
      <w:r>
        <w:rPr>
          <w:rFonts w:ascii="Times New Roman" w:hAnsi="Times New Roman" w:cs="Arial"/>
          <w:sz w:val="20"/>
          <w:lang w:val="en-GB"/>
        </w:rPr>
        <w:t xml:space="preserve">could be </w:t>
      </w:r>
      <w:r w:rsidRPr="00BD7C78">
        <w:rPr>
          <w:rFonts w:ascii="Times New Roman" w:hAnsi="Times New Roman" w:cs="Arial"/>
          <w:sz w:val="20"/>
          <w:lang w:val="en-GB"/>
        </w:rPr>
        <w:t>≤</w:t>
      </w:r>
      <m:oMath>
        <m:r>
          <m:rPr>
            <m:sty m:val="p"/>
          </m:rPr>
          <w:rPr>
            <w:rFonts w:ascii="Cambria Math" w:hAnsi="Cambria Math" w:cs="Arial"/>
            <w:sz w:val="20"/>
            <w:lang w:val="en-GB"/>
          </w:rPr>
          <m:t xml:space="preserve"> </m:t>
        </m:r>
        <m:func>
          <m:funcPr>
            <m:ctrlPr>
              <w:rPr>
                <w:rFonts w:ascii="Cambria Math" w:hAnsi="Cambria Math" w:cs="Arial"/>
                <w:sz w:val="20"/>
                <w:lang w:val="en-GB"/>
              </w:rPr>
            </m:ctrlPr>
          </m:funcPr>
          <m:fName>
            <m:r>
              <m:rPr>
                <m:sty m:val="p"/>
              </m:rPr>
              <w:rPr>
                <w:rFonts w:ascii="Cambria Math" w:hAnsi="Cambria Math" w:cs="Arial"/>
                <w:sz w:val="20"/>
                <w:lang w:val="en-GB"/>
              </w:rPr>
              <m:t>max</m:t>
            </m:r>
          </m:fName>
          <m:e>
            <m:r>
              <m:rPr>
                <m:sty m:val="p"/>
              </m:rPr>
              <w:rPr>
                <w:rFonts w:ascii="Cambria Math" w:hAnsi="Cambria Math" w:cs="Arial"/>
                <w:sz w:val="20"/>
                <w:lang w:val="en-GB"/>
              </w:rPr>
              <m:t xml:space="preserve">(SA </m:t>
            </m:r>
            <m:r>
              <w:rPr>
                <w:rFonts w:ascii="Cambria Math" w:hAnsi="Cambria Math" w:cs="Arial"/>
                <w:sz w:val="20"/>
                <w:lang w:val="en-GB"/>
              </w:rPr>
              <m:t>LTE</m:t>
            </m:r>
            <m:r>
              <m:rPr>
                <m:sty m:val="p"/>
              </m:rPr>
              <w:rPr>
                <w:rFonts w:ascii="Cambria Math" w:hAnsi="Cambria Math" w:cs="Arial"/>
                <w:sz w:val="20"/>
                <w:lang w:val="en-GB"/>
              </w:rPr>
              <m:t xml:space="preserve"> </m:t>
            </m:r>
            <m:r>
              <w:rPr>
                <w:rFonts w:ascii="Cambria Math" w:hAnsi="Cambria Math" w:cs="Arial"/>
                <w:sz w:val="20"/>
                <w:lang w:val="en-GB"/>
              </w:rPr>
              <m:t>achievable</m:t>
            </m:r>
            <m:r>
              <m:rPr>
                <m:sty m:val="p"/>
              </m:rPr>
              <w:rPr>
                <w:rFonts w:ascii="Cambria Math" w:hAnsi="Cambria Math" w:cs="Arial"/>
                <w:sz w:val="20"/>
                <w:lang w:val="en-GB"/>
              </w:rPr>
              <m:t xml:space="preserve"> </m:t>
            </m:r>
            <m:r>
              <w:rPr>
                <w:rFonts w:ascii="Cambria Math" w:hAnsi="Cambria Math" w:cs="Arial"/>
                <w:sz w:val="20"/>
                <w:lang w:val="en-GB"/>
              </w:rPr>
              <m:t>bit</m:t>
            </m:r>
            <m:r>
              <m:rPr>
                <m:sty m:val="p"/>
              </m:rPr>
              <w:rPr>
                <w:rFonts w:ascii="Cambria Math" w:hAnsi="Cambria Math" w:cs="Arial"/>
                <w:sz w:val="20"/>
                <w:lang w:val="en-GB"/>
              </w:rPr>
              <m:t xml:space="preserve"> </m:t>
            </m:r>
            <m:r>
              <w:rPr>
                <w:rFonts w:ascii="Cambria Math" w:hAnsi="Cambria Math" w:cs="Arial"/>
                <w:sz w:val="20"/>
                <w:lang w:val="en-GB"/>
              </w:rPr>
              <m:t>rate</m:t>
            </m:r>
            <m:r>
              <m:rPr>
                <m:sty m:val="p"/>
              </m:rPr>
              <w:rPr>
                <w:rFonts w:ascii="Cambria Math" w:hAnsi="Cambria Math" w:cs="Arial"/>
                <w:sz w:val="20"/>
                <w:lang w:val="en-GB"/>
              </w:rPr>
              <m:t xml:space="preserve">, SA </m:t>
            </m:r>
            <m:r>
              <w:rPr>
                <w:rFonts w:ascii="Cambria Math" w:hAnsi="Cambria Math" w:cs="Arial"/>
                <w:sz w:val="20"/>
                <w:lang w:val="en-GB"/>
              </w:rPr>
              <m:t>NR</m:t>
            </m:r>
            <m:r>
              <m:rPr>
                <m:sty m:val="p"/>
              </m:rPr>
              <w:rPr>
                <w:rFonts w:ascii="Cambria Math" w:hAnsi="Cambria Math" w:cs="Arial"/>
                <w:sz w:val="20"/>
                <w:lang w:val="en-GB"/>
              </w:rPr>
              <m:t xml:space="preserve"> </m:t>
            </m:r>
            <m:r>
              <w:rPr>
                <w:rFonts w:ascii="Cambria Math" w:hAnsi="Cambria Math" w:cs="Arial"/>
                <w:sz w:val="20"/>
                <w:lang w:val="en-GB"/>
              </w:rPr>
              <m:t>achievable</m:t>
            </m:r>
            <m:r>
              <m:rPr>
                <m:sty m:val="p"/>
              </m:rPr>
              <w:rPr>
                <w:rFonts w:ascii="Cambria Math" w:hAnsi="Cambria Math" w:cs="Arial"/>
                <w:sz w:val="20"/>
                <w:lang w:val="en-GB"/>
              </w:rPr>
              <m:t xml:space="preserve"> </m:t>
            </m:r>
            <m:r>
              <w:rPr>
                <w:rFonts w:ascii="Cambria Math" w:hAnsi="Cambria Math" w:cs="Arial"/>
                <w:sz w:val="20"/>
                <w:lang w:val="en-GB"/>
              </w:rPr>
              <m:t>bit</m:t>
            </m:r>
            <m:r>
              <m:rPr>
                <m:sty m:val="p"/>
              </m:rPr>
              <w:rPr>
                <w:rFonts w:ascii="Cambria Math" w:hAnsi="Cambria Math" w:cs="Arial"/>
                <w:sz w:val="20"/>
                <w:lang w:val="en-GB"/>
              </w:rPr>
              <m:t xml:space="preserve"> </m:t>
            </m:r>
            <m:r>
              <w:rPr>
                <w:rFonts w:ascii="Cambria Math" w:hAnsi="Cambria Math" w:cs="Arial"/>
                <w:sz w:val="20"/>
                <w:lang w:val="en-GB"/>
              </w:rPr>
              <m:t>rate</m:t>
            </m:r>
            <m:r>
              <m:rPr>
                <m:sty m:val="p"/>
              </m:rPr>
              <w:rPr>
                <w:rFonts w:ascii="Cambria Math" w:hAnsi="Cambria Math" w:cs="Arial"/>
                <w:sz w:val="20"/>
                <w:lang w:val="en-GB"/>
              </w:rPr>
              <m:t>)</m:t>
            </m:r>
          </m:e>
        </m:func>
      </m:oMath>
      <w:r w:rsidRPr="00BD7C78">
        <w:rPr>
          <w:rFonts w:ascii="Times New Roman" w:hAnsi="Times New Roman" w:cs="Arial"/>
          <w:sz w:val="20"/>
          <w:lang w:val="en-GB"/>
        </w:rPr>
        <w:t>.</w:t>
      </w:r>
    </w:p>
    <w:p w14:paraId="5D3597ED" w14:textId="77777777" w:rsidR="002B2F1E" w:rsidRDefault="002B2F1E" w:rsidP="002B2F1E">
      <w:pPr>
        <w:jc w:val="both"/>
        <w:rPr>
          <w:rFonts w:cs="Arial"/>
        </w:rPr>
      </w:pPr>
    </w:p>
    <w:p w14:paraId="6C123F3A" w14:textId="77777777" w:rsidR="002B2F1E" w:rsidRDefault="002B2F1E" w:rsidP="002B2F1E">
      <w:pPr>
        <w:pStyle w:val="TH"/>
        <w:jc w:val="left"/>
        <w:rPr>
          <w:rFonts w:ascii="Times New Roman" w:hAnsi="Times New Roman"/>
          <w:b w:val="0"/>
        </w:rPr>
      </w:pPr>
      <w:r>
        <w:rPr>
          <w:rFonts w:ascii="Times New Roman" w:hAnsi="Times New Roman"/>
          <w:b w:val="0"/>
        </w:rPr>
        <w:t>Based on the short discussion, we make the following proposals:</w:t>
      </w:r>
    </w:p>
    <w:p w14:paraId="13109600" w14:textId="77777777" w:rsidR="002B2F1E" w:rsidRDefault="002B2F1E" w:rsidP="002B2F1E">
      <w:pPr>
        <w:pStyle w:val="TH"/>
        <w:jc w:val="left"/>
      </w:pPr>
    </w:p>
    <w:p w14:paraId="4F70D990" w14:textId="0139EB44" w:rsidR="002B2F1E" w:rsidRPr="00C96E50" w:rsidRDefault="002B2F1E" w:rsidP="00E02CFC">
      <w:pPr>
        <w:pStyle w:val="TH"/>
        <w:jc w:val="left"/>
        <w:rPr>
          <w:rFonts w:ascii="Times New Roman" w:hAnsi="Times New Roman"/>
          <w:b w:val="0"/>
        </w:rPr>
      </w:pPr>
      <w:r>
        <w:rPr>
          <w:rFonts w:ascii="Times New Roman" w:hAnsi="Times New Roman"/>
        </w:rPr>
        <w:t xml:space="preserve">Proposal 1: </w:t>
      </w:r>
      <w:r w:rsidRPr="00C96E50">
        <w:rPr>
          <w:rFonts w:ascii="Times New Roman" w:hAnsi="Times New Roman"/>
          <w:b w:val="0"/>
        </w:rPr>
        <w:t xml:space="preserve">Do not define a separate EN-DC UE category </w:t>
      </w:r>
      <w:r w:rsidR="002D4A65" w:rsidRPr="00C96E50">
        <w:rPr>
          <w:rFonts w:ascii="Times New Roman" w:hAnsi="Times New Roman"/>
          <w:b w:val="0"/>
        </w:rPr>
        <w:t xml:space="preserve">in </w:t>
      </w:r>
      <w:r w:rsidRPr="00C96E50">
        <w:rPr>
          <w:rFonts w:ascii="Times New Roman" w:hAnsi="Times New Roman"/>
          <w:b w:val="0"/>
        </w:rPr>
        <w:t xml:space="preserve">TS38.306 specification. </w:t>
      </w:r>
      <w:r w:rsidR="00A419B6" w:rsidRPr="00C96E50">
        <w:rPr>
          <w:rFonts w:ascii="Times New Roman" w:hAnsi="Times New Roman"/>
          <w:b w:val="0"/>
        </w:rPr>
        <w:t>Instead, a</w:t>
      </w:r>
      <w:r w:rsidRPr="00C96E50">
        <w:rPr>
          <w:rFonts w:ascii="Times New Roman" w:hAnsi="Times New Roman"/>
          <w:b w:val="0"/>
        </w:rPr>
        <w:t xml:space="preserve">n EN-DC </w:t>
      </w:r>
      <w:r w:rsidR="00A368A1" w:rsidRPr="00C96E50">
        <w:rPr>
          <w:rFonts w:ascii="Times New Roman" w:hAnsi="Times New Roman"/>
          <w:b w:val="0"/>
        </w:rPr>
        <w:t>“</w:t>
      </w:r>
      <w:r w:rsidRPr="00C96E50">
        <w:rPr>
          <w:rFonts w:ascii="Times New Roman" w:hAnsi="Times New Roman"/>
          <w:b w:val="0"/>
        </w:rPr>
        <w:t>UE category</w:t>
      </w:r>
      <w:r w:rsidR="00A368A1" w:rsidRPr="00C96E50">
        <w:rPr>
          <w:rFonts w:ascii="Times New Roman" w:hAnsi="Times New Roman"/>
          <w:b w:val="0"/>
        </w:rPr>
        <w:t>”</w:t>
      </w:r>
      <w:r w:rsidRPr="00C96E50">
        <w:rPr>
          <w:rFonts w:ascii="Times New Roman" w:hAnsi="Times New Roman"/>
          <w:b w:val="0"/>
        </w:rPr>
        <w:t xml:space="preserve"> (DL/UL) is a union of a</w:t>
      </w:r>
      <w:r w:rsidR="00A368A1" w:rsidRPr="00C96E50">
        <w:rPr>
          <w:rFonts w:ascii="Times New Roman" w:hAnsi="Times New Roman"/>
          <w:b w:val="0"/>
        </w:rPr>
        <w:t>n</w:t>
      </w:r>
      <w:r w:rsidRPr="00C96E50">
        <w:rPr>
          <w:rFonts w:ascii="Times New Roman" w:hAnsi="Times New Roman"/>
          <w:b w:val="0"/>
        </w:rPr>
        <w:t xml:space="preserve"> LTE </w:t>
      </w:r>
      <w:r w:rsidR="00A368A1" w:rsidRPr="00C96E50">
        <w:rPr>
          <w:rFonts w:ascii="Times New Roman" w:hAnsi="Times New Roman"/>
          <w:b w:val="0"/>
        </w:rPr>
        <w:t xml:space="preserve">UE </w:t>
      </w:r>
      <w:r w:rsidRPr="00C96E50">
        <w:rPr>
          <w:rFonts w:ascii="Times New Roman" w:hAnsi="Times New Roman"/>
          <w:b w:val="0"/>
        </w:rPr>
        <w:t>category and a</w:t>
      </w:r>
      <w:r w:rsidR="00A368A1" w:rsidRPr="00C96E50">
        <w:rPr>
          <w:rFonts w:ascii="Times New Roman" w:hAnsi="Times New Roman"/>
          <w:b w:val="0"/>
        </w:rPr>
        <w:t>n</w:t>
      </w:r>
      <w:r w:rsidRPr="00C96E50">
        <w:rPr>
          <w:rFonts w:ascii="Times New Roman" w:hAnsi="Times New Roman"/>
          <w:b w:val="0"/>
        </w:rPr>
        <w:t xml:space="preserve"> NR </w:t>
      </w:r>
      <w:r w:rsidR="00A368A1" w:rsidRPr="00C96E50">
        <w:rPr>
          <w:rFonts w:ascii="Times New Roman" w:hAnsi="Times New Roman"/>
          <w:b w:val="0"/>
        </w:rPr>
        <w:t xml:space="preserve">UE </w:t>
      </w:r>
      <w:r w:rsidRPr="00C96E50">
        <w:rPr>
          <w:rFonts w:ascii="Times New Roman" w:hAnsi="Times New Roman"/>
          <w:b w:val="0"/>
        </w:rPr>
        <w:t xml:space="preserve">category. </w:t>
      </w:r>
    </w:p>
    <w:p w14:paraId="37573F8E" w14:textId="16EFAB9D" w:rsidR="002B2F1E" w:rsidRPr="00C96E50" w:rsidRDefault="002B2F1E" w:rsidP="002B2F1E">
      <w:pPr>
        <w:pStyle w:val="TH"/>
        <w:jc w:val="left"/>
        <w:rPr>
          <w:rFonts w:ascii="Times New Roman" w:hAnsi="Times New Roman"/>
          <w:b w:val="0"/>
        </w:rPr>
      </w:pPr>
      <w:r w:rsidRPr="00E94539">
        <w:rPr>
          <w:rFonts w:ascii="Times New Roman" w:hAnsi="Times New Roman"/>
        </w:rPr>
        <w:t xml:space="preserve">Proposal </w:t>
      </w:r>
      <w:r w:rsidR="00A419B6">
        <w:rPr>
          <w:rFonts w:ascii="Times New Roman" w:hAnsi="Times New Roman"/>
        </w:rPr>
        <w:t>2</w:t>
      </w:r>
      <w:r w:rsidRPr="00E94539">
        <w:rPr>
          <w:rFonts w:ascii="Times New Roman" w:hAnsi="Times New Roman"/>
        </w:rPr>
        <w:t xml:space="preserve">: </w:t>
      </w:r>
      <w:r w:rsidR="00A419B6" w:rsidRPr="00C96E50">
        <w:rPr>
          <w:rFonts w:ascii="Times New Roman" w:hAnsi="Times New Roman"/>
          <w:b w:val="0"/>
        </w:rPr>
        <w:t>EN-DC UE category inherits</w:t>
      </w:r>
      <w:r w:rsidRPr="00C96E50">
        <w:rPr>
          <w:rFonts w:ascii="Times New Roman" w:hAnsi="Times New Roman"/>
          <w:b w:val="0"/>
        </w:rPr>
        <w:t xml:space="preserve"> the following characteristics</w:t>
      </w:r>
      <w:r w:rsidR="00A419B6" w:rsidRPr="00C96E50">
        <w:rPr>
          <w:rFonts w:ascii="Times New Roman" w:hAnsi="Times New Roman"/>
          <w:b w:val="0"/>
        </w:rPr>
        <w:t xml:space="preserve"> from the LTE and NR UE categories</w:t>
      </w:r>
      <w:r w:rsidRPr="00C96E50">
        <w:rPr>
          <w:rFonts w:ascii="Times New Roman" w:hAnsi="Times New Roman"/>
          <w:b w:val="0"/>
        </w:rPr>
        <w:t>;</w:t>
      </w:r>
    </w:p>
    <w:p w14:paraId="292E070D" w14:textId="77777777" w:rsidR="002B2F1E" w:rsidRPr="00C96E50" w:rsidRDefault="002B2F1E" w:rsidP="002B2F1E">
      <w:pPr>
        <w:pStyle w:val="TH"/>
        <w:numPr>
          <w:ilvl w:val="0"/>
          <w:numId w:val="6"/>
        </w:numPr>
        <w:jc w:val="left"/>
        <w:rPr>
          <w:rFonts w:ascii="Times New Roman" w:hAnsi="Times New Roman"/>
          <w:b w:val="0"/>
        </w:rPr>
      </w:pPr>
      <w:r w:rsidRPr="00C96E50">
        <w:rPr>
          <w:rFonts w:ascii="Times New Roman" w:hAnsi="Times New Roman"/>
          <w:b w:val="0"/>
        </w:rPr>
        <w:t>Maximum number of bits of DL/UL-SCH TB bits received/transmitted within a TTI in E-UTRA</w:t>
      </w:r>
    </w:p>
    <w:p w14:paraId="65D136BE" w14:textId="77777777" w:rsidR="002B2F1E" w:rsidRPr="00C96E50" w:rsidRDefault="002B2F1E" w:rsidP="002B2F1E">
      <w:pPr>
        <w:pStyle w:val="TH"/>
        <w:numPr>
          <w:ilvl w:val="0"/>
          <w:numId w:val="6"/>
        </w:numPr>
        <w:jc w:val="left"/>
        <w:rPr>
          <w:rFonts w:ascii="Times New Roman" w:hAnsi="Times New Roman"/>
          <w:b w:val="0"/>
        </w:rPr>
      </w:pPr>
      <w:r w:rsidRPr="00C96E50">
        <w:rPr>
          <w:rFonts w:ascii="Times New Roman" w:hAnsi="Times New Roman"/>
          <w:b w:val="0"/>
        </w:rPr>
        <w:t>Maximum number of bits of DL/UL-SCH TB bits received/transmitted within a TTI in NR</w:t>
      </w:r>
    </w:p>
    <w:p w14:paraId="262DF9A2" w14:textId="77777777" w:rsidR="002B2F1E" w:rsidRPr="00C96E50" w:rsidRDefault="002B2F1E" w:rsidP="002B2F1E">
      <w:pPr>
        <w:pStyle w:val="TH"/>
        <w:numPr>
          <w:ilvl w:val="0"/>
          <w:numId w:val="6"/>
        </w:numPr>
        <w:jc w:val="left"/>
        <w:rPr>
          <w:rFonts w:ascii="Times New Roman" w:hAnsi="Times New Roman"/>
          <w:b w:val="0"/>
        </w:rPr>
      </w:pPr>
      <w:r w:rsidRPr="00C96E50">
        <w:rPr>
          <w:rFonts w:ascii="Times New Roman" w:hAnsi="Times New Roman"/>
          <w:b w:val="0"/>
        </w:rPr>
        <w:t>total number of soft channel bits in E-UTRA</w:t>
      </w:r>
    </w:p>
    <w:p w14:paraId="4CCE70D3" w14:textId="77777777" w:rsidR="002B2F1E" w:rsidRPr="00C96E50" w:rsidRDefault="002B2F1E" w:rsidP="002B2F1E">
      <w:pPr>
        <w:pStyle w:val="TH"/>
        <w:numPr>
          <w:ilvl w:val="0"/>
          <w:numId w:val="6"/>
        </w:numPr>
        <w:jc w:val="left"/>
        <w:rPr>
          <w:rFonts w:ascii="Times New Roman" w:hAnsi="Times New Roman"/>
          <w:b w:val="0"/>
        </w:rPr>
      </w:pPr>
      <w:r w:rsidRPr="00C96E50">
        <w:rPr>
          <w:rFonts w:ascii="Times New Roman" w:hAnsi="Times New Roman"/>
          <w:b w:val="0"/>
        </w:rPr>
        <w:t>total number of soft channel bits in NR,</w:t>
      </w:r>
    </w:p>
    <w:p w14:paraId="26CB389A" w14:textId="77777777" w:rsidR="002B2F1E" w:rsidRPr="00C96E50" w:rsidRDefault="002B2F1E" w:rsidP="002B2F1E">
      <w:pPr>
        <w:pStyle w:val="TH"/>
        <w:numPr>
          <w:ilvl w:val="0"/>
          <w:numId w:val="6"/>
        </w:numPr>
        <w:jc w:val="left"/>
        <w:rPr>
          <w:rFonts w:ascii="Times New Roman" w:hAnsi="Times New Roman"/>
          <w:b w:val="0"/>
        </w:rPr>
      </w:pPr>
      <w:r w:rsidRPr="00C96E50">
        <w:rPr>
          <w:rFonts w:ascii="Times New Roman" w:hAnsi="Times New Roman"/>
          <w:b w:val="0"/>
        </w:rPr>
        <w:t xml:space="preserve">total layer 2 buffer size across both LTE and NR </w:t>
      </w:r>
    </w:p>
    <w:p w14:paraId="5D473FA4" w14:textId="67839AFF" w:rsidR="002B2F1E" w:rsidRDefault="002B2F1E" w:rsidP="002B2F1E">
      <w:pPr>
        <w:pStyle w:val="TH"/>
        <w:jc w:val="left"/>
        <w:rPr>
          <w:rFonts w:ascii="Times New Roman" w:hAnsi="Times New Roman"/>
        </w:rPr>
      </w:pPr>
      <w:r w:rsidRPr="00E94539">
        <w:rPr>
          <w:rFonts w:ascii="Times New Roman" w:hAnsi="Times New Roman"/>
        </w:rPr>
        <w:t xml:space="preserve">Proposal </w:t>
      </w:r>
      <w:r w:rsidR="00A419B6">
        <w:rPr>
          <w:rFonts w:ascii="Times New Roman" w:hAnsi="Times New Roman"/>
        </w:rPr>
        <w:t>3</w:t>
      </w:r>
      <w:r w:rsidRPr="00E94539">
        <w:rPr>
          <w:rFonts w:ascii="Times New Roman" w:hAnsi="Times New Roman"/>
        </w:rPr>
        <w:t>:</w:t>
      </w:r>
      <w:r>
        <w:rPr>
          <w:rFonts w:ascii="Times New Roman" w:hAnsi="Times New Roman"/>
        </w:rPr>
        <w:t xml:space="preserve"> </w:t>
      </w:r>
      <w:r w:rsidRPr="00C96E50">
        <w:rPr>
          <w:rFonts w:ascii="Times New Roman" w:hAnsi="Times New Roman"/>
          <w:b w:val="0"/>
        </w:rPr>
        <w:t>Total layer 2 buffer size for EN-DC UE Category considers inter-dependencies of bit-stream components over MN and SN.</w:t>
      </w:r>
    </w:p>
    <w:p w14:paraId="11614C4D" w14:textId="2663FDDB" w:rsidR="002B2F1E" w:rsidRDefault="00A419B6" w:rsidP="002B2F1E">
      <w:pPr>
        <w:pStyle w:val="TH"/>
        <w:jc w:val="left"/>
        <w:rPr>
          <w:rFonts w:ascii="Times New Roman" w:hAnsi="Times New Roman"/>
        </w:rPr>
      </w:pPr>
      <w:r>
        <w:rPr>
          <w:rFonts w:ascii="Times New Roman" w:hAnsi="Times New Roman"/>
        </w:rPr>
        <w:t>Proposal 4</w:t>
      </w:r>
      <w:r w:rsidR="002B2F1E">
        <w:rPr>
          <w:rFonts w:ascii="Times New Roman" w:hAnsi="Times New Roman"/>
        </w:rPr>
        <w:t xml:space="preserve">: </w:t>
      </w:r>
      <w:r w:rsidR="002B2F1E" w:rsidRPr="00C96E50">
        <w:rPr>
          <w:rFonts w:ascii="Times New Roman" w:hAnsi="Times New Roman"/>
          <w:b w:val="0"/>
        </w:rPr>
        <w:t>Each node can know its share from the description of the UE category index; an index points to the union of the standalone LTE and standalone NR UE DL/UL category.</w:t>
      </w:r>
    </w:p>
    <w:p w14:paraId="1AFFA1B5" w14:textId="581198AB" w:rsidR="008003C4" w:rsidRDefault="008003C4" w:rsidP="008003C4">
      <w:pPr>
        <w:pStyle w:val="Heading2"/>
      </w:pPr>
      <w:r>
        <w:t xml:space="preserve">2.2 </w:t>
      </w:r>
      <w:r w:rsidR="00637C75">
        <w:tab/>
      </w:r>
      <w:r>
        <w:t xml:space="preserve">EN-DC UE Category signalling </w:t>
      </w:r>
    </w:p>
    <w:p w14:paraId="3B6C81DF" w14:textId="6E53DEBA" w:rsidR="00E071E0" w:rsidRDefault="00DD325A" w:rsidP="002E36C7">
      <w:pPr>
        <w:jc w:val="both"/>
      </w:pPr>
      <w:r>
        <w:t xml:space="preserve">As with all of EN-DC, RAN2 has </w:t>
      </w:r>
      <w:r w:rsidR="00E071E0" w:rsidRPr="002E36C7">
        <w:t xml:space="preserve">aimed </w:t>
      </w:r>
      <w:r>
        <w:t xml:space="preserve">towards </w:t>
      </w:r>
      <w:r w:rsidR="00E071E0" w:rsidRPr="002E36C7">
        <w:t>a generic definition of UE capabilities</w:t>
      </w:r>
      <w:r>
        <w:t xml:space="preserve"> so that each RAT can operate independently and </w:t>
      </w:r>
      <w:r w:rsidR="00E071E0" w:rsidRPr="002E36C7">
        <w:t>the master node and secondary node are not required to comprehend each other’s UE configuration.</w:t>
      </w:r>
      <w:r w:rsidR="00E071E0">
        <w:t xml:space="preserve"> </w:t>
      </w:r>
    </w:p>
    <w:p w14:paraId="33B93EB1" w14:textId="36DCCEAD" w:rsidR="00E071E0" w:rsidRDefault="00E071E0" w:rsidP="005C07D2">
      <w:pPr>
        <w:jc w:val="both"/>
      </w:pPr>
      <w:r w:rsidRPr="00E071E0">
        <w:rPr>
          <w:b/>
        </w:rPr>
        <w:t xml:space="preserve">Observation </w:t>
      </w:r>
      <w:r w:rsidR="004657FD">
        <w:rPr>
          <w:b/>
        </w:rPr>
        <w:t>2</w:t>
      </w:r>
      <w:r>
        <w:t xml:space="preserve">: LTE UE Category and </w:t>
      </w:r>
      <w:r w:rsidR="008003C4">
        <w:t xml:space="preserve">NR UE </w:t>
      </w:r>
      <w:r>
        <w:t>Category need to be self-contained and separated.</w:t>
      </w:r>
    </w:p>
    <w:p w14:paraId="3B7D95C5" w14:textId="02701C28" w:rsidR="005C07D2" w:rsidRPr="005C07D2" w:rsidRDefault="00163CAA" w:rsidP="00163CAA">
      <w:pPr>
        <w:jc w:val="both"/>
      </w:pPr>
      <w:r w:rsidRPr="00163CAA">
        <w:rPr>
          <w:rFonts w:cs="Arial"/>
        </w:rPr>
        <w:t>It is important that NR Category (and related UE Capability component) remains separated and self-contained within NR Capabilities. However</w:t>
      </w:r>
      <w:r>
        <w:rPr>
          <w:rFonts w:cs="Arial"/>
        </w:rPr>
        <w:t>,</w:t>
      </w:r>
      <w:r w:rsidRPr="00163CAA">
        <w:rPr>
          <w:rFonts w:cs="Arial"/>
        </w:rPr>
        <w:t xml:space="preserve"> for the initial non-standalone scenarios, the UE needs to communicate its performance level to the master node (LTE).</w:t>
      </w:r>
      <w:r w:rsidRPr="00163CAA">
        <w:rPr>
          <w:rFonts w:cs="Arial"/>
          <w:i/>
        </w:rPr>
        <w:t xml:space="preserve"> </w:t>
      </w:r>
      <w:r w:rsidR="00E071E0">
        <w:t>Therefore, the assumed EN-DC UE Category</w:t>
      </w:r>
      <w:r w:rsidR="008003C4">
        <w:t xml:space="preserve"> becomes a subject of a signalling</w:t>
      </w:r>
      <w:r w:rsidR="00E071E0">
        <w:t xml:space="preserve"> component </w:t>
      </w:r>
      <w:r w:rsidR="002417B6">
        <w:t xml:space="preserve">that </w:t>
      </w:r>
      <w:r w:rsidR="00F63168">
        <w:t>needs to be</w:t>
      </w:r>
      <w:r w:rsidR="002417B6">
        <w:t xml:space="preserve"> understood by both</w:t>
      </w:r>
      <w:r w:rsidR="002032EA">
        <w:t>:</w:t>
      </w:r>
      <w:r w:rsidR="002417B6">
        <w:t xml:space="preserve"> </w:t>
      </w:r>
      <w:r w:rsidR="00E071E0">
        <w:t xml:space="preserve"> LTE</w:t>
      </w:r>
      <w:r w:rsidR="002417B6">
        <w:t xml:space="preserve"> and </w:t>
      </w:r>
      <w:r w:rsidR="00E071E0">
        <w:t>NR</w:t>
      </w:r>
      <w:r w:rsidR="002417B6">
        <w:t>.</w:t>
      </w:r>
      <w:r>
        <w:t xml:space="preserve">. For </w:t>
      </w:r>
      <w:r w:rsidR="00BD7C78">
        <w:t>instance,</w:t>
      </w:r>
      <w:r>
        <w:t xml:space="preserve"> it can be represented as a</w:t>
      </w:r>
      <w:r w:rsidR="005C07D2" w:rsidRPr="005C07D2">
        <w:t xml:space="preserve"> sequence conveying both: LTE UE Category and NR UE Category. </w:t>
      </w:r>
    </w:p>
    <w:p w14:paraId="5BE77278" w14:textId="38C79293" w:rsidR="005C07D2" w:rsidRDefault="008003C4" w:rsidP="005C07D2">
      <w:pPr>
        <w:ind w:left="360"/>
        <w:jc w:val="both"/>
        <w:rPr>
          <w:rFonts w:cs="Arial"/>
          <w:i/>
          <w:color w:val="595959" w:themeColor="text1" w:themeTint="A6"/>
        </w:rPr>
      </w:pPr>
      <w:r>
        <w:rPr>
          <w:rFonts w:cs="Arial"/>
          <w:i/>
          <w:noProof/>
          <w:color w:val="595959" w:themeColor="text1" w:themeTint="A6"/>
          <w:lang w:eastAsia="en-GB"/>
        </w:rPr>
        <w:drawing>
          <wp:inline distT="0" distB="0" distL="0" distR="0" wp14:anchorId="5B4EE133" wp14:editId="58A848B7">
            <wp:extent cx="6122035" cy="27628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uplicated signalling for EN-DC UE Category.gif"/>
                    <pic:cNvPicPr/>
                  </pic:nvPicPr>
                  <pic:blipFill>
                    <a:blip r:embed="rId14">
                      <a:extLst>
                        <a:ext uri="{28A0092B-C50C-407E-A947-70E740481C1C}">
                          <a14:useLocalDpi xmlns:a14="http://schemas.microsoft.com/office/drawing/2010/main" val="0"/>
                        </a:ext>
                      </a:extLst>
                    </a:blip>
                    <a:stretch>
                      <a:fillRect/>
                    </a:stretch>
                  </pic:blipFill>
                  <pic:spPr>
                    <a:xfrm>
                      <a:off x="0" y="0"/>
                      <a:ext cx="6122035" cy="2762885"/>
                    </a:xfrm>
                    <a:prstGeom prst="rect">
                      <a:avLst/>
                    </a:prstGeom>
                  </pic:spPr>
                </pic:pic>
              </a:graphicData>
            </a:graphic>
          </wp:inline>
        </w:drawing>
      </w:r>
    </w:p>
    <w:p w14:paraId="03B7DB29" w14:textId="21F4E786" w:rsidR="00E071E0" w:rsidRPr="008003C4" w:rsidRDefault="00E071E0" w:rsidP="00E071E0">
      <w:pPr>
        <w:ind w:left="360"/>
        <w:jc w:val="center"/>
        <w:rPr>
          <w:rFonts w:cs="Arial"/>
        </w:rPr>
      </w:pPr>
      <w:r w:rsidRPr="008003C4">
        <w:rPr>
          <w:rFonts w:cs="Arial"/>
        </w:rPr>
        <w:t>Figure 1. Possible duplicated signalling for UE-ENDC-Capability.</w:t>
      </w:r>
    </w:p>
    <w:p w14:paraId="1638A118" w14:textId="4B62D3FA" w:rsidR="00163CAA" w:rsidRDefault="00163CAA" w:rsidP="00163CAA">
      <w:pPr>
        <w:jc w:val="both"/>
        <w:rPr>
          <w:rFonts w:cs="Arial"/>
        </w:rPr>
      </w:pPr>
      <w:r w:rsidRPr="00163CAA">
        <w:rPr>
          <w:b/>
        </w:rPr>
        <w:t xml:space="preserve">Observation </w:t>
      </w:r>
      <w:r w:rsidR="004D3ECB">
        <w:rPr>
          <w:b/>
        </w:rPr>
        <w:t>3</w:t>
      </w:r>
      <w:r w:rsidRPr="00163CAA">
        <w:rPr>
          <w:b/>
        </w:rPr>
        <w:t>:</w:t>
      </w:r>
      <w:r w:rsidRPr="00163CAA">
        <w:t xml:space="preserve"> </w:t>
      </w:r>
      <w:r w:rsidRPr="00163CAA">
        <w:rPr>
          <w:rFonts w:cs="Arial"/>
        </w:rPr>
        <w:t>A joined LTE-NR UE Capability signalling as a sequence conveying both: LTE UE Category and NR UE Category duplicates contents of LTE and NR UE capabilities.</w:t>
      </w:r>
    </w:p>
    <w:p w14:paraId="56DF08BE" w14:textId="2B2AFDBE" w:rsidR="00A419B6" w:rsidRDefault="00A419B6" w:rsidP="00163CAA">
      <w:pPr>
        <w:jc w:val="both"/>
        <w:rPr>
          <w:rFonts w:cs="Arial"/>
        </w:rPr>
      </w:pPr>
      <w:r>
        <w:rPr>
          <w:rFonts w:cs="Arial"/>
        </w:rPr>
        <w:t>In ASN.1, this can be conveyed in both LTE and NR as follows:</w:t>
      </w:r>
    </w:p>
    <w:p w14:paraId="03EEAE34" w14:textId="79CE2E2E" w:rsidR="00A419B6" w:rsidRPr="00E02CFC" w:rsidRDefault="00A419B6" w:rsidP="00A419B6">
      <w:r>
        <w:rPr>
          <w:b/>
        </w:rPr>
        <w:t>LTE specification (36.331):</w:t>
      </w:r>
      <w:r>
        <w:t xml:space="preserve"> The LTE UE category is comprehended by eNB, but the NR UE category information is given in an OCTET STRING, which can then be conveyed towards the gNB when doing SgNB addition: eNB doesn’t need to comprehend the NR UE category at all.</w:t>
      </w:r>
    </w:p>
    <w:p w14:paraId="769DBC02" w14:textId="77777777" w:rsidR="00A419B6" w:rsidRPr="00E8696D" w:rsidRDefault="00A419B6" w:rsidP="00A419B6">
      <w:pPr>
        <w:pStyle w:val="PL"/>
        <w:shd w:val="clear" w:color="auto" w:fill="E6E6E6"/>
        <w:rPr>
          <w:lang w:val="en-US"/>
        </w:rPr>
      </w:pPr>
      <w:r>
        <w:rPr>
          <w:lang w:val="en-US"/>
        </w:rPr>
        <w:t>EN-DC-UE-Category-r15</w:t>
      </w:r>
      <w:r w:rsidRPr="00E8696D">
        <w:rPr>
          <w:lang w:val="en-US"/>
        </w:rPr>
        <w:t xml:space="preserve"> ::= SEQUENCE {</w:t>
      </w:r>
    </w:p>
    <w:p w14:paraId="1C427EA2" w14:textId="77777777" w:rsidR="00A419B6" w:rsidRDefault="00A419B6" w:rsidP="00A419B6">
      <w:pPr>
        <w:pStyle w:val="PL"/>
        <w:shd w:val="clear" w:color="auto" w:fill="E6E6E6"/>
        <w:rPr>
          <w:lang w:val="en-US"/>
        </w:rPr>
      </w:pPr>
      <w:r w:rsidRPr="00E8696D">
        <w:rPr>
          <w:lang w:val="en-US"/>
        </w:rPr>
        <w:tab/>
      </w:r>
      <w:r>
        <w:rPr>
          <w:lang w:val="en-US"/>
        </w:rPr>
        <w:t>lteUE-Category-r15</w:t>
      </w:r>
      <w:r>
        <w:rPr>
          <w:lang w:val="en-US"/>
        </w:rPr>
        <w:tab/>
      </w:r>
      <w:r>
        <w:rPr>
          <w:lang w:val="en-US"/>
        </w:rPr>
        <w:tab/>
      </w:r>
      <w:r>
        <w:rPr>
          <w:lang w:val="en-US"/>
        </w:rPr>
        <w:tab/>
        <w:t>LTE-UE-Category-r15,</w:t>
      </w:r>
    </w:p>
    <w:p w14:paraId="3E00C187" w14:textId="77777777" w:rsidR="00A419B6" w:rsidRDefault="00A419B6" w:rsidP="00A419B6">
      <w:pPr>
        <w:pStyle w:val="PL"/>
        <w:shd w:val="clear" w:color="auto" w:fill="E6E6E6"/>
        <w:rPr>
          <w:lang w:val="en-US"/>
        </w:rPr>
      </w:pPr>
      <w:r>
        <w:rPr>
          <w:lang w:val="en-US"/>
        </w:rPr>
        <w:tab/>
        <w:t>nrUE-Category-r15</w:t>
      </w:r>
      <w:r>
        <w:rPr>
          <w:lang w:val="en-US"/>
        </w:rPr>
        <w:tab/>
      </w:r>
      <w:r>
        <w:rPr>
          <w:lang w:val="en-US"/>
        </w:rPr>
        <w:tab/>
      </w:r>
      <w:r>
        <w:rPr>
          <w:lang w:val="en-US"/>
        </w:rPr>
        <w:tab/>
        <w:t>NR-UE-Category-r15</w:t>
      </w:r>
    </w:p>
    <w:p w14:paraId="3E0D261E" w14:textId="77777777" w:rsidR="00A419B6" w:rsidRDefault="00A419B6" w:rsidP="00A419B6">
      <w:pPr>
        <w:pStyle w:val="PL"/>
        <w:shd w:val="clear" w:color="auto" w:fill="E6E6E6"/>
        <w:rPr>
          <w:lang w:val="en-US"/>
        </w:rPr>
      </w:pPr>
      <w:r>
        <w:rPr>
          <w:lang w:val="en-US"/>
        </w:rPr>
        <w:t>}</w:t>
      </w:r>
    </w:p>
    <w:p w14:paraId="197C3115" w14:textId="0FA09971" w:rsidR="00A419B6" w:rsidRDefault="00A419B6" w:rsidP="00A419B6">
      <w:pPr>
        <w:pStyle w:val="PL"/>
        <w:shd w:val="clear" w:color="auto" w:fill="E6E6E6"/>
        <w:rPr>
          <w:lang w:val="en-US"/>
        </w:rPr>
      </w:pPr>
    </w:p>
    <w:p w14:paraId="44A9C4CA" w14:textId="77777777" w:rsidR="004D7701" w:rsidRDefault="00A419B6" w:rsidP="00A419B6">
      <w:pPr>
        <w:pStyle w:val="PL"/>
        <w:shd w:val="clear" w:color="auto" w:fill="E6E6E6"/>
        <w:rPr>
          <w:lang w:val="en-US"/>
        </w:rPr>
      </w:pPr>
      <w:r>
        <w:rPr>
          <w:lang w:val="en-US"/>
        </w:rPr>
        <w:t>LTE-UE-Category-r15</w:t>
      </w:r>
      <w:r>
        <w:rPr>
          <w:lang w:val="en-US"/>
        </w:rPr>
        <w:tab/>
        <w:t>::=</w:t>
      </w:r>
      <w:r>
        <w:rPr>
          <w:lang w:val="en-US"/>
        </w:rPr>
        <w:tab/>
      </w:r>
      <w:r>
        <w:rPr>
          <w:lang w:val="en-US"/>
        </w:rPr>
        <w:tab/>
      </w:r>
      <w:r w:rsidR="004D7701">
        <w:rPr>
          <w:lang w:val="en-US"/>
        </w:rPr>
        <w:t>SEQUENCE {</w:t>
      </w:r>
    </w:p>
    <w:p w14:paraId="0BCFEEC7" w14:textId="3A8B39C1" w:rsidR="004D7701" w:rsidRDefault="004D7701" w:rsidP="004D7701">
      <w:pPr>
        <w:pStyle w:val="PL"/>
        <w:shd w:val="clear" w:color="auto" w:fill="E6E6E6"/>
        <w:rPr>
          <w:lang w:val="en-US" w:eastAsia="zh-CN"/>
        </w:rPr>
      </w:pPr>
      <w:r>
        <w:rPr>
          <w:lang w:val="en-US"/>
        </w:rPr>
        <w:tab/>
        <w:t>dlCategory-r15</w:t>
      </w:r>
      <w:r>
        <w:rPr>
          <w:lang w:val="en-US"/>
        </w:rPr>
        <w:tab/>
      </w:r>
      <w:r>
        <w:rPr>
          <w:lang w:val="en-US"/>
        </w:rPr>
        <w:tab/>
      </w:r>
      <w:r w:rsidRPr="00E8696D">
        <w:rPr>
          <w:lang w:val="en-US" w:eastAsia="zh-CN"/>
        </w:rPr>
        <w:tab/>
      </w:r>
      <w:r>
        <w:rPr>
          <w:lang w:val="en-US" w:eastAsia="zh-CN"/>
        </w:rPr>
        <w:t>INTEGER (1..32),</w:t>
      </w:r>
    </w:p>
    <w:p w14:paraId="0B75308A" w14:textId="78447567" w:rsidR="004D7701" w:rsidRDefault="004D7701" w:rsidP="00A419B6">
      <w:pPr>
        <w:pStyle w:val="PL"/>
        <w:shd w:val="clear" w:color="auto" w:fill="E6E6E6"/>
        <w:rPr>
          <w:lang w:val="en-US"/>
        </w:rPr>
      </w:pPr>
      <w:r>
        <w:rPr>
          <w:lang w:val="en-US"/>
        </w:rPr>
        <w:tab/>
      </w:r>
      <w:r>
        <w:rPr>
          <w:lang w:val="en-US"/>
        </w:rPr>
        <w:t>u</w:t>
      </w:r>
      <w:r>
        <w:rPr>
          <w:lang w:val="en-US"/>
        </w:rPr>
        <w:t>lCategory-r15</w:t>
      </w:r>
      <w:r>
        <w:rPr>
          <w:lang w:val="en-US"/>
        </w:rPr>
        <w:tab/>
      </w:r>
      <w:r>
        <w:rPr>
          <w:lang w:val="en-US"/>
        </w:rPr>
        <w:tab/>
      </w:r>
      <w:r w:rsidRPr="00E8696D">
        <w:rPr>
          <w:lang w:val="en-US" w:eastAsia="zh-CN"/>
        </w:rPr>
        <w:tab/>
      </w:r>
      <w:r>
        <w:rPr>
          <w:lang w:val="en-US" w:eastAsia="zh-CN"/>
        </w:rPr>
        <w:t>INTEGER (1..32)</w:t>
      </w:r>
    </w:p>
    <w:p w14:paraId="5A8D6A3A" w14:textId="597227FE" w:rsidR="00A419B6" w:rsidRDefault="004D7701" w:rsidP="00A419B6">
      <w:pPr>
        <w:pStyle w:val="PL"/>
        <w:shd w:val="clear" w:color="auto" w:fill="E6E6E6"/>
        <w:rPr>
          <w:lang w:val="en-US"/>
        </w:rPr>
      </w:pPr>
      <w:r>
        <w:rPr>
          <w:lang w:val="en-US"/>
        </w:rPr>
        <w:t>}</w:t>
      </w:r>
    </w:p>
    <w:p w14:paraId="1F2B489D" w14:textId="77777777" w:rsidR="00A419B6" w:rsidRDefault="00A419B6" w:rsidP="00A419B6">
      <w:pPr>
        <w:pStyle w:val="PL"/>
        <w:shd w:val="clear" w:color="auto" w:fill="E6E6E6"/>
        <w:rPr>
          <w:lang w:val="en-US"/>
        </w:rPr>
      </w:pPr>
    </w:p>
    <w:p w14:paraId="0AE0952F" w14:textId="472F19CE" w:rsidR="00A419B6" w:rsidRPr="00E8696D" w:rsidRDefault="00A419B6" w:rsidP="00A419B6">
      <w:pPr>
        <w:pStyle w:val="PL"/>
        <w:shd w:val="clear" w:color="auto" w:fill="E6E6E6"/>
        <w:rPr>
          <w:lang w:val="en-US"/>
        </w:rPr>
      </w:pPr>
      <w:r>
        <w:rPr>
          <w:lang w:val="en-US"/>
        </w:rPr>
        <w:t>NR-UE-Category-r15</w:t>
      </w:r>
      <w:r>
        <w:rPr>
          <w:lang w:val="en-US"/>
        </w:rPr>
        <w:tab/>
        <w:t>::=</w:t>
      </w:r>
      <w:r>
        <w:rPr>
          <w:lang w:val="en-US"/>
        </w:rPr>
        <w:tab/>
      </w:r>
      <w:r>
        <w:rPr>
          <w:lang w:val="en-US"/>
        </w:rPr>
        <w:tab/>
        <w:t>OCTET STRING</w:t>
      </w:r>
    </w:p>
    <w:p w14:paraId="09A3B937" w14:textId="77777777" w:rsidR="00A419B6" w:rsidRDefault="00A419B6" w:rsidP="00A419B6">
      <w:pPr>
        <w:pStyle w:val="PL"/>
        <w:shd w:val="clear" w:color="auto" w:fill="E6E6E6"/>
        <w:rPr>
          <w:lang w:val="en-US"/>
        </w:rPr>
      </w:pPr>
    </w:p>
    <w:p w14:paraId="5A906F75" w14:textId="3EA98D6F" w:rsidR="00A419B6" w:rsidRPr="00E8696D" w:rsidRDefault="00A419B6" w:rsidP="00A419B6">
      <w:pPr>
        <w:pStyle w:val="PL"/>
        <w:shd w:val="clear" w:color="auto" w:fill="E6E6E6"/>
        <w:rPr>
          <w:lang w:val="en-US"/>
        </w:rPr>
      </w:pPr>
      <w:r>
        <w:rPr>
          <w:lang w:val="en-US"/>
        </w:rPr>
        <w:t>ENDC-Request</w:t>
      </w:r>
      <w:r w:rsidRPr="00E8696D">
        <w:rPr>
          <w:lang w:val="en-US"/>
        </w:rPr>
        <w:t>-</w:t>
      </w:r>
      <w:r>
        <w:rPr>
          <w:lang w:val="en-US"/>
        </w:rPr>
        <w:t>r15</w:t>
      </w:r>
      <w:r w:rsidRPr="00E8696D">
        <w:rPr>
          <w:lang w:val="en-US"/>
        </w:rPr>
        <w:t>-IEs ::=</w:t>
      </w:r>
      <w:r w:rsidRPr="00E8696D">
        <w:rPr>
          <w:lang w:val="en-US"/>
        </w:rPr>
        <w:tab/>
      </w:r>
      <w:r w:rsidRPr="00E8696D">
        <w:rPr>
          <w:lang w:val="en-US"/>
        </w:rPr>
        <w:tab/>
      </w:r>
      <w:r w:rsidRPr="00E8696D">
        <w:rPr>
          <w:lang w:val="en-US"/>
        </w:rPr>
        <w:tab/>
        <w:t>SEQUENCE {</w:t>
      </w:r>
    </w:p>
    <w:p w14:paraId="09FD951F" w14:textId="6D0C89EA" w:rsidR="00A419B6" w:rsidRDefault="00A419B6" w:rsidP="00A419B6">
      <w:pPr>
        <w:pStyle w:val="PL"/>
        <w:shd w:val="clear" w:color="auto" w:fill="E6E6E6"/>
        <w:rPr>
          <w:lang w:val="en-US"/>
        </w:rPr>
      </w:pPr>
      <w:r>
        <w:rPr>
          <w:lang w:val="en-US"/>
        </w:rPr>
        <w:tab/>
        <w:t>EN-DC-UE-Capability-NR</w:t>
      </w:r>
      <w:r>
        <w:rPr>
          <w:lang w:val="en-US"/>
        </w:rPr>
        <w:tab/>
      </w:r>
      <w:r>
        <w:rPr>
          <w:lang w:val="en-US"/>
        </w:rPr>
        <w:tab/>
      </w:r>
      <w:r>
        <w:rPr>
          <w:lang w:val="en-US"/>
        </w:rPr>
        <w:tab/>
        <w:t>NR-UE-Category-r15</w:t>
      </w:r>
    </w:p>
    <w:p w14:paraId="604E80A1" w14:textId="77777777" w:rsidR="00A419B6" w:rsidRPr="00E8696D" w:rsidRDefault="00A419B6" w:rsidP="00A419B6">
      <w:pPr>
        <w:pStyle w:val="PL"/>
        <w:shd w:val="clear" w:color="auto" w:fill="E6E6E6"/>
        <w:rPr>
          <w:lang w:val="en-US"/>
        </w:rPr>
      </w:pPr>
      <w:r>
        <w:rPr>
          <w:lang w:val="en-US"/>
        </w:rPr>
        <w:t>}</w:t>
      </w:r>
    </w:p>
    <w:p w14:paraId="64C7E145" w14:textId="77777777" w:rsidR="00A419B6" w:rsidRDefault="00A419B6" w:rsidP="00A419B6"/>
    <w:p w14:paraId="631A12EB" w14:textId="382D72EB" w:rsidR="00A419B6" w:rsidRPr="00E02CFC" w:rsidRDefault="00A419B6" w:rsidP="00A419B6">
      <w:r>
        <w:rPr>
          <w:b/>
        </w:rPr>
        <w:t>NR</w:t>
      </w:r>
      <w:r>
        <w:rPr>
          <w:b/>
        </w:rPr>
        <w:t xml:space="preserve"> specification:</w:t>
      </w:r>
      <w:r>
        <w:t xml:space="preserve"> Similar to LTE, the NR gNB comprehends the NR UE category but not the LTE UE category. From this, the gNB can still determine its own peak data rate limitations.</w:t>
      </w:r>
    </w:p>
    <w:p w14:paraId="7A54AF10" w14:textId="77777777" w:rsidR="00A419B6" w:rsidRPr="00E8696D" w:rsidRDefault="00A419B6" w:rsidP="00A419B6">
      <w:pPr>
        <w:pStyle w:val="PL"/>
        <w:shd w:val="clear" w:color="auto" w:fill="E6E6E6"/>
        <w:rPr>
          <w:lang w:val="en-US"/>
        </w:rPr>
      </w:pPr>
      <w:r>
        <w:rPr>
          <w:lang w:val="en-US"/>
        </w:rPr>
        <w:t>EN-DC-UE-Category-r15</w:t>
      </w:r>
      <w:r w:rsidRPr="00E8696D">
        <w:rPr>
          <w:lang w:val="en-US"/>
        </w:rPr>
        <w:t xml:space="preserve"> ::= SEQUENCE {</w:t>
      </w:r>
    </w:p>
    <w:p w14:paraId="1DCCF605" w14:textId="77777777" w:rsidR="00A419B6" w:rsidRDefault="00A419B6" w:rsidP="00A419B6">
      <w:pPr>
        <w:pStyle w:val="PL"/>
        <w:shd w:val="clear" w:color="auto" w:fill="E6E6E6"/>
        <w:rPr>
          <w:lang w:val="en-US"/>
        </w:rPr>
      </w:pPr>
      <w:r w:rsidRPr="00E8696D">
        <w:rPr>
          <w:lang w:val="en-US"/>
        </w:rPr>
        <w:tab/>
      </w:r>
      <w:r>
        <w:rPr>
          <w:lang w:val="en-US"/>
        </w:rPr>
        <w:t>lteUE-Category-r15</w:t>
      </w:r>
      <w:r>
        <w:rPr>
          <w:lang w:val="en-US"/>
        </w:rPr>
        <w:tab/>
      </w:r>
      <w:r>
        <w:rPr>
          <w:lang w:val="en-US"/>
        </w:rPr>
        <w:tab/>
      </w:r>
      <w:r>
        <w:rPr>
          <w:lang w:val="en-US"/>
        </w:rPr>
        <w:tab/>
        <w:t>LTE-UE-Category-r15,</w:t>
      </w:r>
    </w:p>
    <w:p w14:paraId="5B06E55F" w14:textId="77777777" w:rsidR="00A419B6" w:rsidRDefault="00A419B6" w:rsidP="00A419B6">
      <w:pPr>
        <w:pStyle w:val="PL"/>
        <w:shd w:val="clear" w:color="auto" w:fill="E6E6E6"/>
        <w:rPr>
          <w:lang w:val="en-US"/>
        </w:rPr>
      </w:pPr>
      <w:r>
        <w:rPr>
          <w:lang w:val="en-US"/>
        </w:rPr>
        <w:tab/>
        <w:t>nrUE-Category-r15</w:t>
      </w:r>
      <w:r>
        <w:rPr>
          <w:lang w:val="en-US"/>
        </w:rPr>
        <w:tab/>
      </w:r>
      <w:r>
        <w:rPr>
          <w:lang w:val="en-US"/>
        </w:rPr>
        <w:tab/>
      </w:r>
      <w:r>
        <w:rPr>
          <w:lang w:val="en-US"/>
        </w:rPr>
        <w:tab/>
        <w:t>NR-UE-Category-r15</w:t>
      </w:r>
    </w:p>
    <w:p w14:paraId="329A5942" w14:textId="77777777" w:rsidR="00A419B6" w:rsidRDefault="00A419B6" w:rsidP="00A419B6">
      <w:pPr>
        <w:pStyle w:val="PL"/>
        <w:shd w:val="clear" w:color="auto" w:fill="E6E6E6"/>
        <w:rPr>
          <w:lang w:val="en-US"/>
        </w:rPr>
      </w:pPr>
      <w:r>
        <w:rPr>
          <w:lang w:val="en-US"/>
        </w:rPr>
        <w:t>}</w:t>
      </w:r>
    </w:p>
    <w:p w14:paraId="665F1A75" w14:textId="77777777" w:rsidR="00A419B6" w:rsidRDefault="00A419B6" w:rsidP="00A419B6">
      <w:pPr>
        <w:pStyle w:val="PL"/>
        <w:shd w:val="clear" w:color="auto" w:fill="E6E6E6"/>
        <w:rPr>
          <w:lang w:val="en-US"/>
        </w:rPr>
      </w:pPr>
    </w:p>
    <w:p w14:paraId="765BD0D1" w14:textId="0E36CB96" w:rsidR="00A419B6" w:rsidRDefault="00A419B6" w:rsidP="00A419B6">
      <w:pPr>
        <w:pStyle w:val="PL"/>
        <w:shd w:val="clear" w:color="auto" w:fill="E6E6E6"/>
        <w:rPr>
          <w:lang w:val="en-US"/>
        </w:rPr>
      </w:pPr>
      <w:r>
        <w:rPr>
          <w:lang w:val="en-US"/>
        </w:rPr>
        <w:t>LTE-UE-Category-r15</w:t>
      </w:r>
      <w:r>
        <w:rPr>
          <w:lang w:val="en-US"/>
        </w:rPr>
        <w:tab/>
        <w:t>::=</w:t>
      </w:r>
      <w:r>
        <w:rPr>
          <w:lang w:val="en-US"/>
        </w:rPr>
        <w:tab/>
      </w:r>
      <w:r>
        <w:rPr>
          <w:lang w:val="en-US"/>
        </w:rPr>
        <w:tab/>
        <w:t>OCTET STRING</w:t>
      </w:r>
    </w:p>
    <w:p w14:paraId="263C3BA0" w14:textId="77777777" w:rsidR="004D7701" w:rsidRDefault="004D7701" w:rsidP="004D7701">
      <w:pPr>
        <w:pStyle w:val="PL"/>
        <w:shd w:val="clear" w:color="auto" w:fill="E6E6E6"/>
        <w:rPr>
          <w:lang w:val="en-US"/>
        </w:rPr>
      </w:pPr>
    </w:p>
    <w:p w14:paraId="6118508A" w14:textId="4764F62A" w:rsidR="004D7701" w:rsidRDefault="004D7701" w:rsidP="004D7701">
      <w:pPr>
        <w:pStyle w:val="PL"/>
        <w:shd w:val="clear" w:color="auto" w:fill="E6E6E6"/>
        <w:rPr>
          <w:lang w:val="en-US"/>
        </w:rPr>
      </w:pPr>
      <w:r>
        <w:rPr>
          <w:lang w:val="en-US"/>
        </w:rPr>
        <w:t>NR</w:t>
      </w:r>
      <w:r>
        <w:rPr>
          <w:lang w:val="en-US"/>
        </w:rPr>
        <w:t>-UE-Category-r15</w:t>
      </w:r>
      <w:r>
        <w:rPr>
          <w:lang w:val="en-US"/>
        </w:rPr>
        <w:tab/>
        <w:t>::=</w:t>
      </w:r>
      <w:r>
        <w:rPr>
          <w:lang w:val="en-US"/>
        </w:rPr>
        <w:tab/>
      </w:r>
      <w:r>
        <w:rPr>
          <w:lang w:val="en-US"/>
        </w:rPr>
        <w:tab/>
        <w:t>SEQUENCE {</w:t>
      </w:r>
    </w:p>
    <w:p w14:paraId="7CD6A7B4" w14:textId="77777777" w:rsidR="004D7701" w:rsidRDefault="004D7701" w:rsidP="004D7701">
      <w:pPr>
        <w:pStyle w:val="PL"/>
        <w:shd w:val="clear" w:color="auto" w:fill="E6E6E6"/>
        <w:rPr>
          <w:lang w:val="en-US" w:eastAsia="zh-CN"/>
        </w:rPr>
      </w:pPr>
      <w:r>
        <w:rPr>
          <w:lang w:val="en-US"/>
        </w:rPr>
        <w:tab/>
        <w:t>dlCategory-r15</w:t>
      </w:r>
      <w:r>
        <w:rPr>
          <w:lang w:val="en-US"/>
        </w:rPr>
        <w:tab/>
      </w:r>
      <w:r>
        <w:rPr>
          <w:lang w:val="en-US"/>
        </w:rPr>
        <w:tab/>
      </w:r>
      <w:r w:rsidRPr="00E8696D">
        <w:rPr>
          <w:lang w:val="en-US" w:eastAsia="zh-CN"/>
        </w:rPr>
        <w:tab/>
      </w:r>
      <w:r>
        <w:rPr>
          <w:lang w:val="en-US" w:eastAsia="zh-CN"/>
        </w:rPr>
        <w:t>INTEGER (1..32),</w:t>
      </w:r>
    </w:p>
    <w:p w14:paraId="51ECA1F8" w14:textId="77777777" w:rsidR="004D7701" w:rsidRDefault="004D7701" w:rsidP="004D7701">
      <w:pPr>
        <w:pStyle w:val="PL"/>
        <w:shd w:val="clear" w:color="auto" w:fill="E6E6E6"/>
        <w:rPr>
          <w:lang w:val="en-US"/>
        </w:rPr>
      </w:pPr>
      <w:r>
        <w:rPr>
          <w:lang w:val="en-US"/>
        </w:rPr>
        <w:tab/>
        <w:t>ulCategory-r15</w:t>
      </w:r>
      <w:r>
        <w:rPr>
          <w:lang w:val="en-US"/>
        </w:rPr>
        <w:tab/>
      </w:r>
      <w:r>
        <w:rPr>
          <w:lang w:val="en-US"/>
        </w:rPr>
        <w:tab/>
      </w:r>
      <w:r w:rsidRPr="00E8696D">
        <w:rPr>
          <w:lang w:val="en-US" w:eastAsia="zh-CN"/>
        </w:rPr>
        <w:tab/>
      </w:r>
      <w:r>
        <w:rPr>
          <w:lang w:val="en-US" w:eastAsia="zh-CN"/>
        </w:rPr>
        <w:t>INTEGER (1..32)</w:t>
      </w:r>
    </w:p>
    <w:p w14:paraId="7E0E916A" w14:textId="77777777" w:rsidR="004D7701" w:rsidRDefault="004D7701" w:rsidP="004D7701">
      <w:pPr>
        <w:pStyle w:val="PL"/>
        <w:shd w:val="clear" w:color="auto" w:fill="E6E6E6"/>
        <w:rPr>
          <w:lang w:val="en-US"/>
        </w:rPr>
      </w:pPr>
      <w:r>
        <w:rPr>
          <w:lang w:val="en-US"/>
        </w:rPr>
        <w:t>}</w:t>
      </w:r>
    </w:p>
    <w:p w14:paraId="209753F5" w14:textId="77777777" w:rsidR="00A419B6" w:rsidRDefault="00A419B6" w:rsidP="00A419B6">
      <w:pPr>
        <w:pStyle w:val="PL"/>
        <w:shd w:val="clear" w:color="auto" w:fill="E6E6E6"/>
        <w:rPr>
          <w:lang w:val="en-US"/>
        </w:rPr>
      </w:pPr>
    </w:p>
    <w:p w14:paraId="406C44B3" w14:textId="33856C45" w:rsidR="00A419B6" w:rsidRPr="00E8696D" w:rsidRDefault="00A419B6" w:rsidP="00A419B6">
      <w:pPr>
        <w:pStyle w:val="PL"/>
        <w:shd w:val="clear" w:color="auto" w:fill="E6E6E6"/>
        <w:rPr>
          <w:lang w:val="en-US"/>
        </w:rPr>
      </w:pPr>
      <w:r>
        <w:rPr>
          <w:lang w:val="en-US"/>
        </w:rPr>
        <w:t>ENDC-Request</w:t>
      </w:r>
      <w:r w:rsidRPr="00E8696D">
        <w:rPr>
          <w:lang w:val="en-US"/>
        </w:rPr>
        <w:t>-</w:t>
      </w:r>
      <w:r>
        <w:rPr>
          <w:lang w:val="en-US"/>
        </w:rPr>
        <w:t>r15</w:t>
      </w:r>
      <w:r w:rsidRPr="00E8696D">
        <w:rPr>
          <w:lang w:val="en-US"/>
        </w:rPr>
        <w:t>-IEs ::=</w:t>
      </w:r>
      <w:r w:rsidRPr="00E8696D">
        <w:rPr>
          <w:lang w:val="en-US"/>
        </w:rPr>
        <w:tab/>
      </w:r>
      <w:r w:rsidRPr="00E8696D">
        <w:rPr>
          <w:lang w:val="en-US"/>
        </w:rPr>
        <w:tab/>
      </w:r>
      <w:r w:rsidRPr="00E8696D">
        <w:rPr>
          <w:lang w:val="en-US"/>
        </w:rPr>
        <w:tab/>
        <w:t>SEQUENCE {</w:t>
      </w:r>
    </w:p>
    <w:p w14:paraId="14945687" w14:textId="77777777" w:rsidR="00A419B6" w:rsidRDefault="00A419B6" w:rsidP="00A419B6">
      <w:pPr>
        <w:pStyle w:val="PL"/>
        <w:shd w:val="clear" w:color="auto" w:fill="E6E6E6"/>
        <w:rPr>
          <w:lang w:val="en-US"/>
        </w:rPr>
      </w:pPr>
      <w:r>
        <w:rPr>
          <w:lang w:val="en-US"/>
        </w:rPr>
        <w:tab/>
        <w:t>EN-DC-UE-Capability-NR</w:t>
      </w:r>
      <w:r>
        <w:rPr>
          <w:lang w:val="en-US"/>
        </w:rPr>
        <w:tab/>
      </w:r>
      <w:r>
        <w:rPr>
          <w:lang w:val="en-US"/>
        </w:rPr>
        <w:tab/>
      </w:r>
      <w:r>
        <w:rPr>
          <w:lang w:val="en-US"/>
        </w:rPr>
        <w:tab/>
        <w:t>NR-UE-Category-r15</w:t>
      </w:r>
    </w:p>
    <w:p w14:paraId="19C8482B" w14:textId="77777777" w:rsidR="00A419B6" w:rsidRPr="00E8696D" w:rsidRDefault="00A419B6" w:rsidP="00A419B6">
      <w:pPr>
        <w:pStyle w:val="PL"/>
        <w:shd w:val="clear" w:color="auto" w:fill="E6E6E6"/>
        <w:rPr>
          <w:lang w:val="en-US"/>
        </w:rPr>
      </w:pPr>
      <w:r>
        <w:rPr>
          <w:lang w:val="en-US"/>
        </w:rPr>
        <w:t>}</w:t>
      </w:r>
    </w:p>
    <w:p w14:paraId="672CE579" w14:textId="77777777" w:rsidR="00A419B6" w:rsidRPr="00E8696D" w:rsidRDefault="00A419B6" w:rsidP="00A419B6">
      <w:pPr>
        <w:pStyle w:val="PL"/>
        <w:shd w:val="clear" w:color="auto" w:fill="E6E6E6"/>
        <w:rPr>
          <w:lang w:val="en-US"/>
        </w:rPr>
      </w:pPr>
    </w:p>
    <w:p w14:paraId="3B66D65D" w14:textId="77777777" w:rsidR="00A419B6" w:rsidRDefault="00A419B6" w:rsidP="00A419B6">
      <w:pPr>
        <w:rPr>
          <w:lang w:val="en-US"/>
        </w:rPr>
      </w:pPr>
    </w:p>
    <w:p w14:paraId="65994519" w14:textId="15F20716" w:rsidR="00255FA6" w:rsidRDefault="00255FA6" w:rsidP="00255FA6">
      <w:pPr>
        <w:jc w:val="both"/>
        <w:rPr>
          <w:rFonts w:cs="Arial"/>
        </w:rPr>
      </w:pPr>
      <w:r w:rsidRPr="00255FA6">
        <w:rPr>
          <w:rFonts w:cs="Arial"/>
        </w:rPr>
        <w:t>For the initial non-standalone scenarios, the UE needs to communicate its performance level to the master node (LTE). Ultimately, there will be a transition to stand alone deployments and the UE with NR capabilities component needs to be able to communicate its NR capabilities to isolated gNB connected to 5GC.Therefore, optimization of NR UE Category i</w:t>
      </w:r>
      <w:r w:rsidR="004657FD">
        <w:rPr>
          <w:rFonts w:cs="Arial"/>
        </w:rPr>
        <w:t>s</w:t>
      </w:r>
      <w:r w:rsidRPr="00255FA6">
        <w:rPr>
          <w:rFonts w:cs="Arial"/>
        </w:rPr>
        <w:t xml:space="preserve"> non-future proof. </w:t>
      </w:r>
      <w:r w:rsidR="00BD7C78">
        <w:rPr>
          <w:rFonts w:cs="Arial"/>
        </w:rPr>
        <w:t xml:space="preserve">For backward-compatible reasons UE-EUTRA-Capability needs to be also kept, thus, we believe the EN-DC UE Category </w:t>
      </w:r>
      <w:r w:rsidR="00BD7C78" w:rsidRPr="00BD7C78">
        <w:rPr>
          <w:rFonts w:cs="Arial"/>
        </w:rPr>
        <w:t>justifies the need to introduce a co</w:t>
      </w:r>
      <w:r w:rsidR="004D7701">
        <w:rPr>
          <w:rFonts w:cs="Arial"/>
        </w:rPr>
        <w:t>o</w:t>
      </w:r>
      <w:r w:rsidR="00F63168">
        <w:rPr>
          <w:rFonts w:cs="Arial"/>
        </w:rPr>
        <w:t>rdinated</w:t>
      </w:r>
      <w:r w:rsidR="00BD7C78" w:rsidRPr="00BD7C78">
        <w:rPr>
          <w:rFonts w:cs="Arial"/>
        </w:rPr>
        <w:t xml:space="preserve"> part of LTE-NR capabilities, consisting of </w:t>
      </w:r>
      <w:r w:rsidR="002032EA">
        <w:rPr>
          <w:rFonts w:cs="Arial"/>
        </w:rPr>
        <w:t xml:space="preserve">the </w:t>
      </w:r>
      <w:r w:rsidR="00BD7C78" w:rsidRPr="00BD7C78">
        <w:rPr>
          <w:rFonts w:cs="Arial"/>
        </w:rPr>
        <w:t>LTE-NR UE Category</w:t>
      </w:r>
      <w:r w:rsidR="00F63168">
        <w:rPr>
          <w:rFonts w:cs="Arial"/>
        </w:rPr>
        <w:t xml:space="preserve"> as a union and indexed bandwidth combinations</w:t>
      </w:r>
    </w:p>
    <w:p w14:paraId="3B279E36" w14:textId="0B82A34C" w:rsidR="00CF007A" w:rsidRDefault="00CF007A" w:rsidP="00CF007A">
      <w:pPr>
        <w:pStyle w:val="Heading2"/>
      </w:pPr>
      <w:r>
        <w:t>2.3</w:t>
      </w:r>
      <w:r>
        <w:t xml:space="preserve"> </w:t>
      </w:r>
      <w:r>
        <w:tab/>
        <w:t xml:space="preserve">EN-DC </w:t>
      </w:r>
      <w:r>
        <w:t xml:space="preserve">Procedures and </w:t>
      </w:r>
      <w:r>
        <w:t xml:space="preserve">UE Category signalling </w:t>
      </w:r>
    </w:p>
    <w:p w14:paraId="5B920F9A" w14:textId="0F35F277" w:rsidR="002032EA" w:rsidRPr="00E02CFC" w:rsidRDefault="002032EA" w:rsidP="00E02CFC">
      <w:pPr>
        <w:jc w:val="both"/>
        <w:rPr>
          <w:color w:val="595959" w:themeColor="text1" w:themeTint="A6"/>
        </w:rPr>
      </w:pPr>
      <w:r w:rsidRPr="00E02CFC">
        <w:rPr>
          <w:color w:val="595959" w:themeColor="text1" w:themeTint="A6"/>
        </w:rPr>
        <w:t xml:space="preserve">The procedures flow may be implemented in a several alternatives. The main </w:t>
      </w:r>
      <w:r>
        <w:rPr>
          <w:color w:val="595959" w:themeColor="text1" w:themeTint="A6"/>
        </w:rPr>
        <w:t xml:space="preserve">intention would be </w:t>
      </w:r>
      <w:r w:rsidRPr="00E02CFC">
        <w:rPr>
          <w:color w:val="595959" w:themeColor="text1" w:themeTint="A6"/>
        </w:rPr>
        <w:t xml:space="preserve">to distinguish </w:t>
      </w:r>
      <w:r>
        <w:rPr>
          <w:color w:val="595959" w:themeColor="text1" w:themeTint="A6"/>
        </w:rPr>
        <w:t xml:space="preserve">indexed </w:t>
      </w:r>
      <w:r w:rsidRPr="00E02CFC">
        <w:rPr>
          <w:color w:val="595959" w:themeColor="text1" w:themeTint="A6"/>
        </w:rPr>
        <w:t>UE capabilities blo</w:t>
      </w:r>
      <w:r w:rsidRPr="002032EA">
        <w:rPr>
          <w:color w:val="595959" w:themeColor="text1" w:themeTint="A6"/>
        </w:rPr>
        <w:t>ck</w:t>
      </w:r>
      <w:r w:rsidRPr="00E02CFC">
        <w:rPr>
          <w:color w:val="595959" w:themeColor="text1" w:themeTint="A6"/>
        </w:rPr>
        <w:t xml:space="preserve"> </w:t>
      </w:r>
      <w:r>
        <w:rPr>
          <w:color w:val="595959" w:themeColor="text1" w:themeTint="A6"/>
        </w:rPr>
        <w:t>in LTE-NR deployment scenario</w:t>
      </w:r>
      <w:r w:rsidRPr="00E02CFC">
        <w:rPr>
          <w:color w:val="595959" w:themeColor="text1" w:themeTint="A6"/>
        </w:rPr>
        <w:t xml:space="preserve">. </w:t>
      </w:r>
    </w:p>
    <w:p w14:paraId="3A74162E" w14:textId="77777777" w:rsidR="002032EA" w:rsidRPr="00E02CFC" w:rsidRDefault="002032EA" w:rsidP="002032EA">
      <w:pPr>
        <w:pStyle w:val="ListParagraph"/>
        <w:jc w:val="both"/>
        <w:rPr>
          <w:rFonts w:ascii="Times New Roman" w:hAnsi="Times New Roman"/>
          <w:color w:val="595959" w:themeColor="text1" w:themeTint="A6"/>
          <w:sz w:val="20"/>
        </w:rPr>
      </w:pPr>
    </w:p>
    <w:p w14:paraId="1283BB47" w14:textId="77777777" w:rsidR="002032EA" w:rsidRPr="00E02CFC" w:rsidRDefault="002032EA" w:rsidP="002032EA">
      <w:pPr>
        <w:pStyle w:val="ListParagraph"/>
        <w:jc w:val="center"/>
        <w:rPr>
          <w:rFonts w:ascii="Times New Roman" w:hAnsi="Times New Roman"/>
          <w:sz w:val="20"/>
        </w:rPr>
      </w:pPr>
      <w:r w:rsidRPr="00B87440">
        <w:rPr>
          <w:rFonts w:ascii="Times New Roman" w:hAnsi="Times New Roman"/>
          <w:sz w:val="20"/>
        </w:rPr>
        <w:object w:dxaOrig="5724" w:dyaOrig="5498" w14:anchorId="08DD2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pt;height:247.3pt" o:ole="">
            <v:imagedata r:id="rId15" o:title=""/>
          </v:shape>
          <o:OLEObject Type="Embed" ProgID="Visio.Drawing.11" ShapeID="_x0000_i1025" DrawAspect="Content" ObjectID="_1563985667" r:id="rId16"/>
        </w:object>
      </w:r>
    </w:p>
    <w:p w14:paraId="62B46117" w14:textId="25495658" w:rsidR="002032EA" w:rsidRPr="00E02CFC" w:rsidRDefault="002032EA" w:rsidP="002032EA">
      <w:pPr>
        <w:pStyle w:val="ColorfulList-Accent11"/>
        <w:rPr>
          <w:rFonts w:ascii="Times New Roman" w:hAnsi="Times New Roman"/>
          <w:color w:val="595959" w:themeColor="text1" w:themeTint="A6"/>
          <w:sz w:val="20"/>
          <w:lang w:val="en-GB"/>
        </w:rPr>
      </w:pPr>
      <w:r w:rsidRPr="002032EA">
        <w:rPr>
          <w:rFonts w:ascii="Times New Roman" w:hAnsi="Times New Roman"/>
          <w:color w:val="595959" w:themeColor="text1" w:themeTint="A6"/>
          <w:sz w:val="20"/>
          <w:lang w:val="en-GB"/>
        </w:rPr>
        <w:t xml:space="preserve">Figure </w:t>
      </w:r>
      <w:r>
        <w:rPr>
          <w:rFonts w:ascii="Times New Roman" w:hAnsi="Times New Roman"/>
          <w:color w:val="595959" w:themeColor="text1" w:themeTint="A6"/>
          <w:sz w:val="20"/>
          <w:lang w:val="en-GB"/>
        </w:rPr>
        <w:t>2</w:t>
      </w:r>
      <w:r w:rsidRPr="00E02CFC">
        <w:rPr>
          <w:rFonts w:ascii="Times New Roman" w:hAnsi="Times New Roman"/>
          <w:color w:val="595959" w:themeColor="text1" w:themeTint="A6"/>
          <w:sz w:val="20"/>
          <w:lang w:val="en-GB"/>
        </w:rPr>
        <w:t xml:space="preserve">. The </w:t>
      </w:r>
      <w:r>
        <w:rPr>
          <w:rFonts w:ascii="Times New Roman" w:hAnsi="Times New Roman"/>
          <w:color w:val="595959" w:themeColor="text1" w:themeTint="A6"/>
          <w:sz w:val="20"/>
          <w:lang w:val="en-GB"/>
        </w:rPr>
        <w:t>EN-DC UE Category as a</w:t>
      </w:r>
      <w:r w:rsidRPr="00E02CFC">
        <w:rPr>
          <w:rFonts w:ascii="Times New Roman" w:hAnsi="Times New Roman"/>
          <w:color w:val="595959" w:themeColor="text1" w:themeTint="A6"/>
          <w:sz w:val="20"/>
          <w:lang w:val="en-GB"/>
        </w:rPr>
        <w:t>LTE-NR specific capability component.</w:t>
      </w:r>
    </w:p>
    <w:p w14:paraId="3CFDA871" w14:textId="77777777" w:rsidR="002032EA" w:rsidRPr="00E02CFC" w:rsidRDefault="002032EA" w:rsidP="002032EA">
      <w:pPr>
        <w:pStyle w:val="ListParagraph"/>
        <w:jc w:val="both"/>
        <w:rPr>
          <w:rFonts w:ascii="Times New Roman" w:hAnsi="Times New Roman"/>
          <w:color w:val="595959" w:themeColor="text1" w:themeTint="A6"/>
          <w:sz w:val="20"/>
          <w:lang w:val="en-GB"/>
        </w:rPr>
      </w:pPr>
    </w:p>
    <w:p w14:paraId="6A33BEE8" w14:textId="77777777" w:rsidR="002032EA" w:rsidRPr="00E02CFC" w:rsidRDefault="002032EA" w:rsidP="002032EA">
      <w:pPr>
        <w:pStyle w:val="ListParagraph"/>
        <w:jc w:val="both"/>
        <w:rPr>
          <w:rFonts w:ascii="Times New Roman" w:hAnsi="Times New Roman"/>
          <w:color w:val="595959" w:themeColor="text1" w:themeTint="A6"/>
          <w:sz w:val="20"/>
        </w:rPr>
      </w:pPr>
    </w:p>
    <w:p w14:paraId="5E2FAB89" w14:textId="77777777" w:rsidR="002032EA" w:rsidRPr="00E02CFC" w:rsidRDefault="002032EA" w:rsidP="002032EA">
      <w:pPr>
        <w:pStyle w:val="ListParagraph"/>
        <w:jc w:val="center"/>
        <w:rPr>
          <w:rFonts w:ascii="Times New Roman" w:hAnsi="Times New Roman"/>
          <w:sz w:val="20"/>
        </w:rPr>
      </w:pPr>
      <w:r w:rsidRPr="00B87440">
        <w:rPr>
          <w:rFonts w:ascii="Times New Roman" w:hAnsi="Times New Roman"/>
          <w:sz w:val="20"/>
        </w:rPr>
        <w:object w:dxaOrig="5724" w:dyaOrig="5549" w14:anchorId="27AF7D24">
          <v:shape id="_x0000_i1026" type="#_x0000_t75" style="width:286.1pt;height:277.35pt" o:ole="">
            <v:imagedata r:id="rId17" o:title=""/>
          </v:shape>
          <o:OLEObject Type="Embed" ProgID="Visio.Drawing.11" ShapeID="_x0000_i1026" DrawAspect="Content" ObjectID="_1563985668" r:id="rId18"/>
        </w:object>
      </w:r>
    </w:p>
    <w:p w14:paraId="65D49E21" w14:textId="465CD72B" w:rsidR="002032EA" w:rsidRPr="00E02CFC" w:rsidRDefault="002032EA" w:rsidP="002032EA">
      <w:pPr>
        <w:pStyle w:val="ListParagraph"/>
        <w:jc w:val="both"/>
        <w:rPr>
          <w:rFonts w:ascii="Times New Roman" w:hAnsi="Times New Roman"/>
          <w:sz w:val="20"/>
        </w:rPr>
      </w:pPr>
      <w:r w:rsidRPr="002032EA">
        <w:rPr>
          <w:rFonts w:ascii="Times New Roman" w:hAnsi="Times New Roman"/>
          <w:color w:val="595959" w:themeColor="text1" w:themeTint="A6"/>
          <w:sz w:val="20"/>
        </w:rPr>
        <w:t xml:space="preserve">Figure </w:t>
      </w:r>
      <w:r>
        <w:rPr>
          <w:rFonts w:ascii="Times New Roman" w:hAnsi="Times New Roman"/>
          <w:color w:val="595959" w:themeColor="text1" w:themeTint="A6"/>
          <w:sz w:val="20"/>
        </w:rPr>
        <w:t>3</w:t>
      </w:r>
      <w:r w:rsidRPr="00E02CFC">
        <w:rPr>
          <w:rFonts w:ascii="Times New Roman" w:hAnsi="Times New Roman"/>
          <w:color w:val="595959" w:themeColor="text1" w:themeTint="A6"/>
          <w:sz w:val="20"/>
        </w:rPr>
        <w:t xml:space="preserve">. UE Capability coordination with UE </w:t>
      </w:r>
      <w:r w:rsidRPr="002032EA">
        <w:rPr>
          <w:rFonts w:ascii="Times New Roman" w:hAnsi="Times New Roman"/>
          <w:color w:val="595959" w:themeColor="text1" w:themeTint="A6"/>
          <w:sz w:val="20"/>
        </w:rPr>
        <w:t xml:space="preserve">Capabilities </w:t>
      </w:r>
      <w:r>
        <w:rPr>
          <w:rFonts w:ascii="Times New Roman" w:hAnsi="Times New Roman"/>
          <w:color w:val="595959" w:themeColor="text1" w:themeTint="A6"/>
          <w:sz w:val="20"/>
        </w:rPr>
        <w:t>E</w:t>
      </w:r>
      <w:r w:rsidRPr="00E02CFC">
        <w:rPr>
          <w:rFonts w:ascii="Times New Roman" w:hAnsi="Times New Roman"/>
          <w:color w:val="595959" w:themeColor="text1" w:themeTint="A6"/>
          <w:sz w:val="20"/>
        </w:rPr>
        <w:t>nquire specific for NSA operations</w:t>
      </w:r>
    </w:p>
    <w:p w14:paraId="28C33F64" w14:textId="77777777" w:rsidR="002032EA" w:rsidRPr="00E02CFC" w:rsidRDefault="002032EA" w:rsidP="002032EA">
      <w:pPr>
        <w:pStyle w:val="ListParagraph"/>
        <w:jc w:val="both"/>
        <w:rPr>
          <w:rFonts w:ascii="Times New Roman" w:hAnsi="Times New Roman"/>
          <w:sz w:val="20"/>
        </w:rPr>
      </w:pPr>
    </w:p>
    <w:p w14:paraId="6563AC47" w14:textId="77777777" w:rsidR="002032EA" w:rsidRPr="00E02CFC" w:rsidRDefault="002032EA" w:rsidP="002032EA">
      <w:pPr>
        <w:pStyle w:val="ListParagraph"/>
        <w:jc w:val="center"/>
        <w:rPr>
          <w:rFonts w:ascii="Times New Roman" w:hAnsi="Times New Roman"/>
          <w:sz w:val="20"/>
        </w:rPr>
      </w:pPr>
      <w:r w:rsidRPr="00B87440">
        <w:rPr>
          <w:rFonts w:ascii="Times New Roman" w:hAnsi="Times New Roman"/>
          <w:sz w:val="20"/>
        </w:rPr>
        <w:object w:dxaOrig="5518" w:dyaOrig="6144" w14:anchorId="1260A6DF">
          <v:shape id="_x0000_i1027" type="#_x0000_t75" style="width:274.25pt;height:305.55pt" o:ole="">
            <v:imagedata r:id="rId19" o:title=""/>
          </v:shape>
          <o:OLEObject Type="Embed" ProgID="Visio.Drawing.11" ShapeID="_x0000_i1027" DrawAspect="Content" ObjectID="_1563985669" r:id="rId20"/>
        </w:object>
      </w:r>
    </w:p>
    <w:p w14:paraId="3BD50E8A" w14:textId="18D623FF" w:rsidR="002032EA" w:rsidRPr="00E02CFC" w:rsidRDefault="002032EA" w:rsidP="002032EA">
      <w:pPr>
        <w:pStyle w:val="ListParagraph"/>
        <w:jc w:val="center"/>
        <w:rPr>
          <w:rFonts w:ascii="Times New Roman" w:hAnsi="Times New Roman"/>
          <w:sz w:val="20"/>
        </w:rPr>
      </w:pPr>
      <w:r w:rsidRPr="00E02CFC">
        <w:rPr>
          <w:rFonts w:ascii="Times New Roman" w:hAnsi="Times New Roman"/>
          <w:color w:val="595959" w:themeColor="text1" w:themeTint="A6"/>
          <w:sz w:val="20"/>
        </w:rPr>
        <w:t xml:space="preserve">Figure </w:t>
      </w:r>
      <w:r>
        <w:rPr>
          <w:rFonts w:ascii="Times New Roman" w:hAnsi="Times New Roman"/>
          <w:color w:val="595959" w:themeColor="text1" w:themeTint="A6"/>
          <w:sz w:val="20"/>
        </w:rPr>
        <w:t>4</w:t>
      </w:r>
      <w:r w:rsidRPr="00E02CFC">
        <w:rPr>
          <w:rFonts w:ascii="Times New Roman" w:hAnsi="Times New Roman"/>
          <w:color w:val="595959" w:themeColor="text1" w:themeTint="A6"/>
          <w:sz w:val="20"/>
        </w:rPr>
        <w:t xml:space="preserve">. UE Capability coordination with UE </w:t>
      </w:r>
      <w:r w:rsidRPr="002032EA">
        <w:rPr>
          <w:rFonts w:ascii="Times New Roman" w:hAnsi="Times New Roman"/>
          <w:color w:val="595959" w:themeColor="text1" w:themeTint="A6"/>
          <w:sz w:val="20"/>
        </w:rPr>
        <w:t>Capabilities</w:t>
      </w:r>
      <w:r w:rsidRPr="00E02CFC">
        <w:rPr>
          <w:rFonts w:ascii="Times New Roman" w:hAnsi="Times New Roman"/>
          <w:color w:val="595959" w:themeColor="text1" w:themeTint="A6"/>
          <w:sz w:val="20"/>
        </w:rPr>
        <w:t xml:space="preserve"> </w:t>
      </w:r>
      <w:r>
        <w:rPr>
          <w:rFonts w:ascii="Times New Roman" w:hAnsi="Times New Roman"/>
          <w:color w:val="595959" w:themeColor="text1" w:themeTint="A6"/>
          <w:sz w:val="20"/>
        </w:rPr>
        <w:t>E</w:t>
      </w:r>
      <w:r w:rsidRPr="00E02CFC">
        <w:rPr>
          <w:rFonts w:ascii="Times New Roman" w:hAnsi="Times New Roman"/>
          <w:color w:val="595959" w:themeColor="text1" w:themeTint="A6"/>
          <w:sz w:val="20"/>
        </w:rPr>
        <w:t>nquiry split for NR component fetch</w:t>
      </w:r>
      <w:r w:rsidRPr="00E02CFC">
        <w:rPr>
          <w:rFonts w:ascii="Times New Roman" w:hAnsi="Times New Roman"/>
          <w:color w:val="595959" w:themeColor="text1" w:themeTint="A6"/>
          <w:sz w:val="20"/>
          <w:lang w:val="en-GB"/>
        </w:rPr>
        <w:br w:type="page"/>
      </w:r>
      <w:r w:rsidRPr="00B87440">
        <w:rPr>
          <w:rFonts w:ascii="Times New Roman" w:hAnsi="Times New Roman"/>
          <w:sz w:val="20"/>
        </w:rPr>
        <w:object w:dxaOrig="5518" w:dyaOrig="6144" w14:anchorId="20EE75DB">
          <v:shape id="_x0000_i1028" type="#_x0000_t75" style="width:250.45pt;height:279.85pt" o:ole="">
            <v:imagedata r:id="rId21" o:title=""/>
          </v:shape>
          <o:OLEObject Type="Embed" ProgID="Visio.Drawing.11" ShapeID="_x0000_i1028" DrawAspect="Content" ObjectID="_1563985670" r:id="rId22"/>
        </w:object>
      </w:r>
    </w:p>
    <w:p w14:paraId="779B8970" w14:textId="26DAE3B3" w:rsidR="002032EA" w:rsidRPr="00E02CFC" w:rsidRDefault="002032EA" w:rsidP="002032EA">
      <w:pPr>
        <w:pStyle w:val="ListParagraph"/>
        <w:jc w:val="both"/>
        <w:rPr>
          <w:rFonts w:ascii="Times New Roman" w:hAnsi="Times New Roman"/>
          <w:color w:val="595959" w:themeColor="text1" w:themeTint="A6"/>
          <w:sz w:val="20"/>
        </w:rPr>
      </w:pPr>
      <w:r w:rsidRPr="00E02CFC">
        <w:rPr>
          <w:rFonts w:ascii="Times New Roman" w:hAnsi="Times New Roman"/>
          <w:color w:val="595959" w:themeColor="text1" w:themeTint="A6"/>
          <w:sz w:val="20"/>
        </w:rPr>
        <w:t xml:space="preserve">Figure </w:t>
      </w:r>
      <w:r>
        <w:rPr>
          <w:rFonts w:ascii="Times New Roman" w:hAnsi="Times New Roman"/>
          <w:color w:val="595959" w:themeColor="text1" w:themeTint="A6"/>
          <w:sz w:val="20"/>
        </w:rPr>
        <w:t>5</w:t>
      </w:r>
      <w:r w:rsidRPr="00E02CFC">
        <w:rPr>
          <w:rFonts w:ascii="Times New Roman" w:hAnsi="Times New Roman"/>
          <w:color w:val="595959" w:themeColor="text1" w:themeTint="A6"/>
          <w:sz w:val="20"/>
        </w:rPr>
        <w:t xml:space="preserve">. UE Capability coordination with UE </w:t>
      </w:r>
      <w:r w:rsidRPr="002032EA">
        <w:rPr>
          <w:rFonts w:ascii="Times New Roman" w:hAnsi="Times New Roman"/>
          <w:color w:val="595959" w:themeColor="text1" w:themeTint="A6"/>
          <w:sz w:val="20"/>
        </w:rPr>
        <w:t xml:space="preserve">Capabilities </w:t>
      </w:r>
      <w:r>
        <w:rPr>
          <w:rFonts w:ascii="Times New Roman" w:hAnsi="Times New Roman"/>
          <w:color w:val="595959" w:themeColor="text1" w:themeTint="A6"/>
          <w:sz w:val="20"/>
        </w:rPr>
        <w:t>E</w:t>
      </w:r>
      <w:r w:rsidRPr="00E02CFC">
        <w:rPr>
          <w:rFonts w:ascii="Times New Roman" w:hAnsi="Times New Roman"/>
          <w:color w:val="595959" w:themeColor="text1" w:themeTint="A6"/>
          <w:sz w:val="20"/>
        </w:rPr>
        <w:t>nquiry split for each capability component (E-UTRA, ENDC, NR).</w:t>
      </w:r>
    </w:p>
    <w:p w14:paraId="0BD333EC" w14:textId="414AE464" w:rsidR="002032EA" w:rsidRDefault="002032EA" w:rsidP="00255FA6">
      <w:pPr>
        <w:jc w:val="both"/>
        <w:rPr>
          <w:rFonts w:cs="Arial"/>
        </w:rPr>
      </w:pPr>
    </w:p>
    <w:p w14:paraId="5588E838" w14:textId="144F16A7" w:rsidR="00F63168" w:rsidRDefault="00F63168" w:rsidP="00F63168">
      <w:pPr>
        <w:jc w:val="both"/>
        <w:rPr>
          <w:rFonts w:cs="Arial"/>
        </w:rPr>
      </w:pPr>
      <w:r w:rsidRPr="00E02CFC">
        <w:rPr>
          <w:rFonts w:cs="Arial"/>
          <w:b/>
        </w:rPr>
        <w:t>Proposal 5:</w:t>
      </w:r>
      <w:r>
        <w:rPr>
          <w:rFonts w:cs="Arial"/>
        </w:rPr>
        <w:t xml:space="preserve"> EN-DC Category is signalled as a part of coordinated LTE-NR capabilities</w:t>
      </w:r>
      <w:r w:rsidR="00E02CFC">
        <w:rPr>
          <w:rFonts w:cs="Arial"/>
        </w:rPr>
        <w:t xml:space="preserve"> at SgNB addition</w:t>
      </w:r>
      <w:r>
        <w:rPr>
          <w:rFonts w:cs="Arial"/>
        </w:rPr>
        <w:t>.</w:t>
      </w:r>
    </w:p>
    <w:p w14:paraId="43A12B72" w14:textId="0653DD9B" w:rsidR="00CD4C7B" w:rsidRPr="00BD7C78" w:rsidRDefault="00CD4C7B" w:rsidP="00CD4C7B">
      <w:pPr>
        <w:pStyle w:val="Heading1"/>
      </w:pPr>
      <w:r w:rsidRPr="006E13D1">
        <w:t>3</w:t>
      </w:r>
      <w:r w:rsidRPr="006E13D1">
        <w:tab/>
      </w:r>
      <w:r w:rsidRPr="00E02CFC">
        <w:tab/>
      </w:r>
      <w:r w:rsidR="00FD5F6F" w:rsidRPr="00BD7C78">
        <w:t>Conclusion</w:t>
      </w:r>
    </w:p>
    <w:p w14:paraId="008C8193" w14:textId="77777777" w:rsidR="00A056AC" w:rsidRDefault="00A056AC" w:rsidP="00C96E50">
      <w:pPr>
        <w:jc w:val="both"/>
      </w:pPr>
      <w:r>
        <w:t>We have discussed the definition of EN-DC UE category and observed the following:</w:t>
      </w:r>
    </w:p>
    <w:p w14:paraId="688B356B" w14:textId="17645E90" w:rsidR="00C96E50" w:rsidRDefault="00C96E50" w:rsidP="00C96E50">
      <w:pPr>
        <w:jc w:val="both"/>
      </w:pPr>
      <w:r w:rsidRPr="00E071E0">
        <w:rPr>
          <w:b/>
        </w:rPr>
        <w:t xml:space="preserve">Observation </w:t>
      </w:r>
      <w:r>
        <w:rPr>
          <w:b/>
        </w:rPr>
        <w:t>1</w:t>
      </w:r>
      <w:r>
        <w:t xml:space="preserve">: Achievable data rate in EN-DC scenarios needs to consider split-bearer operation. </w:t>
      </w:r>
    </w:p>
    <w:p w14:paraId="3F8D485A" w14:textId="77777777" w:rsidR="00C96E50" w:rsidRDefault="00C96E50" w:rsidP="00C96E50">
      <w:pPr>
        <w:jc w:val="both"/>
      </w:pPr>
      <w:r w:rsidRPr="00E071E0">
        <w:rPr>
          <w:b/>
        </w:rPr>
        <w:t xml:space="preserve">Observation </w:t>
      </w:r>
      <w:r>
        <w:rPr>
          <w:b/>
        </w:rPr>
        <w:t>2</w:t>
      </w:r>
      <w:r>
        <w:t>: LTE UE Category and NR UE Category need to be self-contained and separated.</w:t>
      </w:r>
    </w:p>
    <w:p w14:paraId="2A1D6F8D" w14:textId="77777777" w:rsidR="00C96E50" w:rsidRDefault="00C96E50" w:rsidP="00C96E50">
      <w:pPr>
        <w:jc w:val="both"/>
        <w:rPr>
          <w:rFonts w:cs="Arial"/>
        </w:rPr>
      </w:pPr>
      <w:r w:rsidRPr="00163CAA">
        <w:rPr>
          <w:b/>
        </w:rPr>
        <w:t xml:space="preserve">Observation </w:t>
      </w:r>
      <w:r>
        <w:rPr>
          <w:b/>
        </w:rPr>
        <w:t>3</w:t>
      </w:r>
      <w:r w:rsidRPr="00163CAA">
        <w:rPr>
          <w:b/>
        </w:rPr>
        <w:t>:</w:t>
      </w:r>
      <w:r w:rsidRPr="00163CAA">
        <w:t xml:space="preserve"> </w:t>
      </w:r>
      <w:r w:rsidRPr="00163CAA">
        <w:rPr>
          <w:rFonts w:cs="Arial"/>
        </w:rPr>
        <w:t>A joined LTE-NR UE Capability signalling as a sequence conveying both: LTE UE Category and NR UE Category duplicates contents of LTE and NR UE capabilities.</w:t>
      </w:r>
    </w:p>
    <w:p w14:paraId="08DCA655" w14:textId="22DF0AD9" w:rsidR="00F63168" w:rsidRDefault="00A056AC" w:rsidP="00F63168">
      <w:pPr>
        <w:jc w:val="both"/>
      </w:pPr>
      <w:r>
        <w:t>Based on these, we propose the following:</w:t>
      </w:r>
    </w:p>
    <w:p w14:paraId="633B26D5" w14:textId="77777777" w:rsidR="00E02CFC" w:rsidRPr="00E8696D" w:rsidRDefault="00E02CFC" w:rsidP="00E02CFC">
      <w:pPr>
        <w:pStyle w:val="TH"/>
        <w:jc w:val="left"/>
        <w:rPr>
          <w:rFonts w:ascii="Times New Roman" w:hAnsi="Times New Roman"/>
          <w:b w:val="0"/>
        </w:rPr>
      </w:pPr>
      <w:r>
        <w:rPr>
          <w:rFonts w:ascii="Times New Roman" w:hAnsi="Times New Roman"/>
        </w:rPr>
        <w:t xml:space="preserve">Proposal 1: </w:t>
      </w:r>
      <w:r w:rsidRPr="00E8696D">
        <w:rPr>
          <w:rFonts w:ascii="Times New Roman" w:hAnsi="Times New Roman"/>
          <w:b w:val="0"/>
        </w:rPr>
        <w:t xml:space="preserve">Do not define a separate EN-DC UE category in TS38.306 specification. Instead, an EN-DC “UE category” (DL/UL) is a union of an LTE UE category and an NR UE category. </w:t>
      </w:r>
    </w:p>
    <w:p w14:paraId="6F4DB648" w14:textId="77777777" w:rsidR="00E02CFC" w:rsidRPr="00E8696D" w:rsidRDefault="00E02CFC" w:rsidP="00E02CFC">
      <w:pPr>
        <w:pStyle w:val="TH"/>
        <w:jc w:val="left"/>
        <w:rPr>
          <w:rFonts w:ascii="Times New Roman" w:hAnsi="Times New Roman"/>
          <w:b w:val="0"/>
        </w:rPr>
      </w:pPr>
      <w:r w:rsidRPr="00E94539">
        <w:rPr>
          <w:rFonts w:ascii="Times New Roman" w:hAnsi="Times New Roman"/>
        </w:rPr>
        <w:t xml:space="preserve">Proposal </w:t>
      </w:r>
      <w:r>
        <w:rPr>
          <w:rFonts w:ascii="Times New Roman" w:hAnsi="Times New Roman"/>
        </w:rPr>
        <w:t>2</w:t>
      </w:r>
      <w:r w:rsidRPr="00E94539">
        <w:rPr>
          <w:rFonts w:ascii="Times New Roman" w:hAnsi="Times New Roman"/>
        </w:rPr>
        <w:t xml:space="preserve">: </w:t>
      </w:r>
      <w:r w:rsidRPr="00E8696D">
        <w:rPr>
          <w:rFonts w:ascii="Times New Roman" w:hAnsi="Times New Roman"/>
          <w:b w:val="0"/>
        </w:rPr>
        <w:t>EN-DC UE category inherits the following characteristics from the LTE and NR UE categories;</w:t>
      </w:r>
    </w:p>
    <w:p w14:paraId="1356E07F" w14:textId="77777777" w:rsidR="00E02CFC" w:rsidRPr="00E8696D" w:rsidRDefault="00E02CFC" w:rsidP="00E02CFC">
      <w:pPr>
        <w:pStyle w:val="TH"/>
        <w:numPr>
          <w:ilvl w:val="0"/>
          <w:numId w:val="6"/>
        </w:numPr>
        <w:jc w:val="left"/>
        <w:rPr>
          <w:rFonts w:ascii="Times New Roman" w:hAnsi="Times New Roman"/>
          <w:b w:val="0"/>
        </w:rPr>
      </w:pPr>
      <w:r w:rsidRPr="00E8696D">
        <w:rPr>
          <w:rFonts w:ascii="Times New Roman" w:hAnsi="Times New Roman"/>
          <w:b w:val="0"/>
        </w:rPr>
        <w:t>Maximum number of bits of DL/UL-SCH TB bits received/transmitted within a TTI in E-UTRA</w:t>
      </w:r>
    </w:p>
    <w:p w14:paraId="06EF10D4" w14:textId="77777777" w:rsidR="00E02CFC" w:rsidRPr="00E8696D" w:rsidRDefault="00E02CFC" w:rsidP="00E02CFC">
      <w:pPr>
        <w:pStyle w:val="TH"/>
        <w:numPr>
          <w:ilvl w:val="0"/>
          <w:numId w:val="6"/>
        </w:numPr>
        <w:jc w:val="left"/>
        <w:rPr>
          <w:rFonts w:ascii="Times New Roman" w:hAnsi="Times New Roman"/>
          <w:b w:val="0"/>
        </w:rPr>
      </w:pPr>
      <w:r w:rsidRPr="00E8696D">
        <w:rPr>
          <w:rFonts w:ascii="Times New Roman" w:hAnsi="Times New Roman"/>
          <w:b w:val="0"/>
        </w:rPr>
        <w:t>Maximum number of bits of DL/UL-SCH TB bits received/transmitted within a TTI in NR</w:t>
      </w:r>
    </w:p>
    <w:p w14:paraId="1C653A55" w14:textId="77777777" w:rsidR="00E02CFC" w:rsidRPr="00E8696D" w:rsidRDefault="00E02CFC" w:rsidP="00E02CFC">
      <w:pPr>
        <w:pStyle w:val="TH"/>
        <w:numPr>
          <w:ilvl w:val="0"/>
          <w:numId w:val="6"/>
        </w:numPr>
        <w:jc w:val="left"/>
        <w:rPr>
          <w:rFonts w:ascii="Times New Roman" w:hAnsi="Times New Roman"/>
          <w:b w:val="0"/>
        </w:rPr>
      </w:pPr>
      <w:r w:rsidRPr="00E8696D">
        <w:rPr>
          <w:rFonts w:ascii="Times New Roman" w:hAnsi="Times New Roman"/>
          <w:b w:val="0"/>
        </w:rPr>
        <w:t>total number of soft channel bits in E-UTRA</w:t>
      </w:r>
    </w:p>
    <w:p w14:paraId="727B93E3" w14:textId="77777777" w:rsidR="00E02CFC" w:rsidRPr="00E8696D" w:rsidRDefault="00E02CFC" w:rsidP="00E02CFC">
      <w:pPr>
        <w:pStyle w:val="TH"/>
        <w:numPr>
          <w:ilvl w:val="0"/>
          <w:numId w:val="6"/>
        </w:numPr>
        <w:jc w:val="left"/>
        <w:rPr>
          <w:rFonts w:ascii="Times New Roman" w:hAnsi="Times New Roman"/>
          <w:b w:val="0"/>
        </w:rPr>
      </w:pPr>
      <w:r w:rsidRPr="00E8696D">
        <w:rPr>
          <w:rFonts w:ascii="Times New Roman" w:hAnsi="Times New Roman"/>
          <w:b w:val="0"/>
        </w:rPr>
        <w:t>total number of soft channel bits in NR,</w:t>
      </w:r>
    </w:p>
    <w:p w14:paraId="09E55079" w14:textId="77777777" w:rsidR="00E02CFC" w:rsidRPr="00E8696D" w:rsidRDefault="00E02CFC" w:rsidP="00E02CFC">
      <w:pPr>
        <w:pStyle w:val="TH"/>
        <w:numPr>
          <w:ilvl w:val="0"/>
          <w:numId w:val="6"/>
        </w:numPr>
        <w:jc w:val="left"/>
        <w:rPr>
          <w:rFonts w:ascii="Times New Roman" w:hAnsi="Times New Roman"/>
          <w:b w:val="0"/>
        </w:rPr>
      </w:pPr>
      <w:r w:rsidRPr="00E8696D">
        <w:rPr>
          <w:rFonts w:ascii="Times New Roman" w:hAnsi="Times New Roman"/>
          <w:b w:val="0"/>
        </w:rPr>
        <w:t xml:space="preserve">total layer 2 buffer size across both LTE and NR </w:t>
      </w:r>
    </w:p>
    <w:p w14:paraId="3D4CDFBD" w14:textId="77777777" w:rsidR="00E02CFC" w:rsidRDefault="00E02CFC" w:rsidP="00E02CFC">
      <w:pPr>
        <w:pStyle w:val="TH"/>
        <w:jc w:val="left"/>
        <w:rPr>
          <w:rFonts w:ascii="Times New Roman" w:hAnsi="Times New Roman"/>
        </w:rPr>
      </w:pPr>
      <w:r w:rsidRPr="00E94539">
        <w:rPr>
          <w:rFonts w:ascii="Times New Roman" w:hAnsi="Times New Roman"/>
        </w:rPr>
        <w:t xml:space="preserve">Proposal </w:t>
      </w:r>
      <w:r>
        <w:rPr>
          <w:rFonts w:ascii="Times New Roman" w:hAnsi="Times New Roman"/>
        </w:rPr>
        <w:t>3</w:t>
      </w:r>
      <w:r w:rsidRPr="00E94539">
        <w:rPr>
          <w:rFonts w:ascii="Times New Roman" w:hAnsi="Times New Roman"/>
        </w:rPr>
        <w:t>:</w:t>
      </w:r>
      <w:r>
        <w:rPr>
          <w:rFonts w:ascii="Times New Roman" w:hAnsi="Times New Roman"/>
        </w:rPr>
        <w:t xml:space="preserve"> </w:t>
      </w:r>
      <w:r w:rsidRPr="00E8696D">
        <w:rPr>
          <w:rFonts w:ascii="Times New Roman" w:hAnsi="Times New Roman"/>
          <w:b w:val="0"/>
        </w:rPr>
        <w:t>Total layer 2 buffer size for EN-DC UE Category considers inter-dependencies of bit-stream components over MN and SN.</w:t>
      </w:r>
    </w:p>
    <w:p w14:paraId="49302ED3" w14:textId="77777777" w:rsidR="00E02CFC" w:rsidRDefault="00E02CFC" w:rsidP="00E02CFC">
      <w:pPr>
        <w:pStyle w:val="TH"/>
        <w:jc w:val="left"/>
        <w:rPr>
          <w:rFonts w:ascii="Times New Roman" w:hAnsi="Times New Roman"/>
        </w:rPr>
      </w:pPr>
      <w:r>
        <w:rPr>
          <w:rFonts w:ascii="Times New Roman" w:hAnsi="Times New Roman"/>
        </w:rPr>
        <w:t xml:space="preserve">Proposal 4: </w:t>
      </w:r>
      <w:r w:rsidRPr="00E8696D">
        <w:rPr>
          <w:rFonts w:ascii="Times New Roman" w:hAnsi="Times New Roman"/>
          <w:b w:val="0"/>
        </w:rPr>
        <w:t>Each node can know its share from the description of the UE category index; an index points to the union of the standalone LTE and standalone NR UE DL/UL category.</w:t>
      </w:r>
    </w:p>
    <w:p w14:paraId="08961140" w14:textId="35C7B6BB" w:rsidR="00F63168" w:rsidRDefault="00E02CFC" w:rsidP="00F63168">
      <w:pPr>
        <w:jc w:val="both"/>
        <w:rPr>
          <w:rFonts w:cs="Arial"/>
        </w:rPr>
      </w:pPr>
      <w:r w:rsidRPr="00842BA5" w:rsidDel="00E02CFC">
        <w:t xml:space="preserve"> </w:t>
      </w:r>
      <w:r w:rsidR="00F63168" w:rsidRPr="007D2414">
        <w:rPr>
          <w:rFonts w:cs="Arial"/>
          <w:b/>
        </w:rPr>
        <w:t>Proposal 5:</w:t>
      </w:r>
      <w:r w:rsidR="00F63168">
        <w:rPr>
          <w:rFonts w:cs="Arial"/>
        </w:rPr>
        <w:t xml:space="preserve"> EN-DC Category is signalled as a part of coordinated LTE-NR capabilities</w:t>
      </w:r>
      <w:r>
        <w:rPr>
          <w:rFonts w:cs="Arial"/>
        </w:rPr>
        <w:t xml:space="preserve"> </w:t>
      </w:r>
      <w:r>
        <w:rPr>
          <w:rFonts w:cs="Arial"/>
        </w:rPr>
        <w:t>at SgNB addition</w:t>
      </w:r>
      <w:r w:rsidR="00F63168">
        <w:rPr>
          <w:rFonts w:cs="Arial"/>
        </w:rPr>
        <w:t>.</w:t>
      </w:r>
    </w:p>
    <w:p w14:paraId="22F9BAEE" w14:textId="77777777" w:rsidR="00F63168" w:rsidRDefault="00F63168" w:rsidP="00BD7C78">
      <w:pPr>
        <w:jc w:val="both"/>
      </w:pPr>
    </w:p>
    <w:p w14:paraId="190C81D1" w14:textId="359566E2" w:rsidR="00CD4C7B" w:rsidRPr="00BD7C78" w:rsidRDefault="00CD4C7B" w:rsidP="00CD4C7B"/>
    <w:p w14:paraId="0FDCFAC2" w14:textId="77777777" w:rsidR="00CD4C7B" w:rsidRPr="006E13D1" w:rsidRDefault="00CD4C7B" w:rsidP="00CD4C7B">
      <w:pPr>
        <w:pStyle w:val="Heading1"/>
      </w:pPr>
      <w:r w:rsidRPr="006E13D1">
        <w:t>References</w:t>
      </w:r>
    </w:p>
    <w:bookmarkStart w:id="2" w:name="_Ref75086397"/>
    <w:p w14:paraId="4F677E3A" w14:textId="520DC007" w:rsidR="00FD5F6F" w:rsidRPr="00FD5F6F" w:rsidRDefault="00FD5F6F" w:rsidP="00CD4C7B">
      <w:pPr>
        <w:numPr>
          <w:ilvl w:val="0"/>
          <w:numId w:val="4"/>
        </w:numPr>
        <w:overflowPunct w:val="0"/>
        <w:autoSpaceDE w:val="0"/>
        <w:autoSpaceDN w:val="0"/>
        <w:adjustRightInd w:val="0"/>
        <w:textAlignment w:val="baseline"/>
      </w:pPr>
      <w:r>
        <w:fldChar w:fldCharType="begin"/>
      </w:r>
      <w:r>
        <w:instrText xml:space="preserve"> HYPERLINK "http://3gpp.org/ftp/tsg_ran/TSG_RAN/TSGR_76/LSin/RP-170901.zip" </w:instrText>
      </w:r>
      <w:r>
        <w:fldChar w:fldCharType="separate"/>
      </w:r>
      <w:r w:rsidRPr="00FD5F6F">
        <w:rPr>
          <w:rStyle w:val="Hyperlink"/>
        </w:rPr>
        <w:t>RP-170901</w:t>
      </w:r>
      <w:r>
        <w:fldChar w:fldCharType="end"/>
      </w:r>
      <w:r>
        <w:t>,</w:t>
      </w:r>
      <w:r w:rsidRPr="00FD5F6F">
        <w:t xml:space="preserve"> </w:t>
      </w:r>
      <w:r w:rsidRPr="00FD5F6F">
        <w:rPr>
          <w:i/>
        </w:rPr>
        <w:t xml:space="preserve">LS on </w:t>
      </w:r>
      <w:r w:rsidRPr="00FD5F6F">
        <w:rPr>
          <w:rFonts w:hint="eastAsia"/>
          <w:i/>
        </w:rPr>
        <w:t xml:space="preserve">UE </w:t>
      </w:r>
      <w:r w:rsidRPr="00FD5F6F">
        <w:rPr>
          <w:i/>
        </w:rPr>
        <w:t>categories for NR and LTE-NR Dual Connectivity,</w:t>
      </w:r>
      <w:r>
        <w:t xml:space="preserve"> RAN2</w:t>
      </w:r>
    </w:p>
    <w:p w14:paraId="4AA5C936" w14:textId="3F5F82E3" w:rsidR="00CD4C7B" w:rsidRDefault="002D4A65" w:rsidP="00CD4C7B">
      <w:pPr>
        <w:numPr>
          <w:ilvl w:val="0"/>
          <w:numId w:val="4"/>
        </w:numPr>
        <w:overflowPunct w:val="0"/>
        <w:autoSpaceDE w:val="0"/>
        <w:autoSpaceDN w:val="0"/>
        <w:adjustRightInd w:val="0"/>
        <w:textAlignment w:val="baseline"/>
      </w:pPr>
      <w:hyperlink r:id="rId23" w:history="1">
        <w:r w:rsidR="00FD5F6F" w:rsidRPr="00FD5F6F">
          <w:rPr>
            <w:rStyle w:val="Hyperlink"/>
          </w:rPr>
          <w:t>RP-171480</w:t>
        </w:r>
      </w:hyperlink>
      <w:r w:rsidR="00FD5F6F">
        <w:t>,</w:t>
      </w:r>
      <w:r w:rsidR="00CD4C7B" w:rsidRPr="006E13D1">
        <w:t xml:space="preserve"> </w:t>
      </w:r>
      <w:bookmarkEnd w:id="2"/>
      <w:r w:rsidR="00FD5F6F">
        <w:rPr>
          <w:i/>
          <w:iCs/>
        </w:rPr>
        <w:t>Reply LS on UE categories for NR and LTE-NR Dual Connectivity,</w:t>
      </w:r>
      <w:r w:rsidR="0090466A">
        <w:t xml:space="preserve"> </w:t>
      </w:r>
      <w:r w:rsidR="00FD5F6F">
        <w:t>RAN</w:t>
      </w:r>
    </w:p>
    <w:p w14:paraId="4E2D16F4" w14:textId="53953F6F" w:rsidR="002E36C7" w:rsidRPr="00FC5BA7" w:rsidRDefault="002D4A65" w:rsidP="00CD4C7B">
      <w:pPr>
        <w:numPr>
          <w:ilvl w:val="0"/>
          <w:numId w:val="4"/>
        </w:numPr>
        <w:overflowPunct w:val="0"/>
        <w:autoSpaceDE w:val="0"/>
        <w:autoSpaceDN w:val="0"/>
        <w:adjustRightInd w:val="0"/>
        <w:textAlignment w:val="baseline"/>
      </w:pPr>
      <w:hyperlink r:id="rId24" w:history="1">
        <w:r w:rsidR="002E36C7" w:rsidRPr="009B78E3">
          <w:rPr>
            <w:rStyle w:val="Hyperlink"/>
            <w:rFonts w:cs="Arial"/>
          </w:rPr>
          <w:t>R2-150126</w:t>
        </w:r>
      </w:hyperlink>
      <w:r w:rsidR="002E36C7" w:rsidRPr="002E36C7">
        <w:rPr>
          <w:i/>
          <w:iCs/>
        </w:rPr>
        <w:t>, Total layer-2 buffer size for split-bearer capable UEs,</w:t>
      </w:r>
      <w:r w:rsidR="002E36C7">
        <w:rPr>
          <w:iCs/>
        </w:rPr>
        <w:t xml:space="preserve"> Nokia Networks, Nokia Corporation</w:t>
      </w:r>
    </w:p>
    <w:p w14:paraId="1FAF6D54" w14:textId="145ED505" w:rsidR="00FC5BA7" w:rsidRDefault="002D4A65" w:rsidP="00CD4C7B">
      <w:pPr>
        <w:numPr>
          <w:ilvl w:val="0"/>
          <w:numId w:val="4"/>
        </w:numPr>
        <w:overflowPunct w:val="0"/>
        <w:autoSpaceDE w:val="0"/>
        <w:autoSpaceDN w:val="0"/>
        <w:adjustRightInd w:val="0"/>
        <w:textAlignment w:val="baseline"/>
      </w:pPr>
      <w:hyperlink r:id="rId25" w:history="1">
        <w:r w:rsidR="00FC5BA7" w:rsidRPr="00FC5BA7">
          <w:rPr>
            <w:rStyle w:val="Hyperlink"/>
          </w:rPr>
          <w:t>R2-1706859</w:t>
        </w:r>
      </w:hyperlink>
      <w:r w:rsidR="00FC5BA7" w:rsidRPr="00FC5BA7">
        <w:t xml:space="preserve">, </w:t>
      </w:r>
      <w:r w:rsidR="00FC5BA7" w:rsidRPr="00FC5BA7">
        <w:rPr>
          <w:i/>
        </w:rPr>
        <w:t>UE capability structure and coordination aspects for MR-DC</w:t>
      </w:r>
      <w:r w:rsidR="00FC5BA7" w:rsidRPr="00FC5BA7">
        <w:t>, Nokia, Alcatel-Lucent Shanghai Bell</w:t>
      </w:r>
    </w:p>
    <w:p w14:paraId="151ED678" w14:textId="71FD864F" w:rsidR="00F63168" w:rsidRPr="006E13D1" w:rsidRDefault="00E02CFC" w:rsidP="00CD4C7B">
      <w:pPr>
        <w:numPr>
          <w:ilvl w:val="0"/>
          <w:numId w:val="4"/>
        </w:numPr>
        <w:overflowPunct w:val="0"/>
        <w:autoSpaceDE w:val="0"/>
        <w:autoSpaceDN w:val="0"/>
        <w:adjustRightInd w:val="0"/>
        <w:textAlignment w:val="baseline"/>
      </w:pPr>
      <w:hyperlink r:id="rId26" w:history="1">
        <w:r w:rsidR="00F63168" w:rsidRPr="00E02CFC">
          <w:rPr>
            <w:rStyle w:val="Hyperlink"/>
          </w:rPr>
          <w:t>R2-170</w:t>
        </w:r>
        <w:r w:rsidRPr="00E02CFC">
          <w:rPr>
            <w:rStyle w:val="Hyperlink"/>
          </w:rPr>
          <w:t>9247</w:t>
        </w:r>
      </w:hyperlink>
      <w:r w:rsidR="00F63168">
        <w:t xml:space="preserve">, </w:t>
      </w:r>
      <w:r w:rsidR="00F63168" w:rsidRPr="00E02CFC">
        <w:rPr>
          <w:i/>
        </w:rPr>
        <w:t>Index based capability coordination for MR-DC,</w:t>
      </w:r>
      <w:r w:rsidR="00F63168">
        <w:t xml:space="preserve"> Nokia, Nokia Shanghai Bell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D604F" w14:textId="77777777" w:rsidR="002D4A65" w:rsidRDefault="002D4A65">
      <w:r>
        <w:separator/>
      </w:r>
    </w:p>
  </w:endnote>
  <w:endnote w:type="continuationSeparator" w:id="0">
    <w:p w14:paraId="081BEEBC" w14:textId="77777777" w:rsidR="002D4A65" w:rsidRDefault="002D4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CAC4D" w14:textId="77777777" w:rsidR="002D4A65" w:rsidRDefault="002D4A65">
      <w:r>
        <w:separator/>
      </w:r>
    </w:p>
  </w:footnote>
  <w:footnote w:type="continuationSeparator" w:id="0">
    <w:p w14:paraId="3DA3510C" w14:textId="77777777" w:rsidR="002D4A65" w:rsidRDefault="002D4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B56B18"/>
    <w:multiLevelType w:val="hybridMultilevel"/>
    <w:tmpl w:val="8F203846"/>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32805"/>
    <w:multiLevelType w:val="hybridMultilevel"/>
    <w:tmpl w:val="F202FD7E"/>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268058C"/>
    <w:multiLevelType w:val="hybridMultilevel"/>
    <w:tmpl w:val="E5407754"/>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4F61"/>
    <w:rsid w:val="00026C2F"/>
    <w:rsid w:val="00033397"/>
    <w:rsid w:val="00040095"/>
    <w:rsid w:val="000576E1"/>
    <w:rsid w:val="00063C02"/>
    <w:rsid w:val="00080512"/>
    <w:rsid w:val="00090468"/>
    <w:rsid w:val="000B7BCF"/>
    <w:rsid w:val="000C522B"/>
    <w:rsid w:val="000D58AB"/>
    <w:rsid w:val="000F6308"/>
    <w:rsid w:val="00105392"/>
    <w:rsid w:val="00112F1A"/>
    <w:rsid w:val="00145075"/>
    <w:rsid w:val="00163CAA"/>
    <w:rsid w:val="001741A0"/>
    <w:rsid w:val="00182BB6"/>
    <w:rsid w:val="00183A6B"/>
    <w:rsid w:val="00194CD0"/>
    <w:rsid w:val="001B49C9"/>
    <w:rsid w:val="001F168B"/>
    <w:rsid w:val="001F7831"/>
    <w:rsid w:val="002032EA"/>
    <w:rsid w:val="00204045"/>
    <w:rsid w:val="0022606D"/>
    <w:rsid w:val="002417B6"/>
    <w:rsid w:val="00255FA6"/>
    <w:rsid w:val="002747EC"/>
    <w:rsid w:val="002855BF"/>
    <w:rsid w:val="002B2F1E"/>
    <w:rsid w:val="002D4A65"/>
    <w:rsid w:val="002E36C7"/>
    <w:rsid w:val="002F0D22"/>
    <w:rsid w:val="003172DC"/>
    <w:rsid w:val="00326069"/>
    <w:rsid w:val="0035462D"/>
    <w:rsid w:val="003922F6"/>
    <w:rsid w:val="003B40AD"/>
    <w:rsid w:val="003C4E37"/>
    <w:rsid w:val="003D11E2"/>
    <w:rsid w:val="003E16BE"/>
    <w:rsid w:val="004006E8"/>
    <w:rsid w:val="00401855"/>
    <w:rsid w:val="004657FD"/>
    <w:rsid w:val="0046759F"/>
    <w:rsid w:val="00477455"/>
    <w:rsid w:val="0048743B"/>
    <w:rsid w:val="004D3578"/>
    <w:rsid w:val="004D380D"/>
    <w:rsid w:val="004D3ECB"/>
    <w:rsid w:val="004D7701"/>
    <w:rsid w:val="004E213A"/>
    <w:rsid w:val="00503171"/>
    <w:rsid w:val="00506C28"/>
    <w:rsid w:val="00534DA0"/>
    <w:rsid w:val="00543E6C"/>
    <w:rsid w:val="00565087"/>
    <w:rsid w:val="0056573F"/>
    <w:rsid w:val="005A1DC1"/>
    <w:rsid w:val="005A1F8E"/>
    <w:rsid w:val="005C07D2"/>
    <w:rsid w:val="005E5BCD"/>
    <w:rsid w:val="00611566"/>
    <w:rsid w:val="00637C75"/>
    <w:rsid w:val="00643E33"/>
    <w:rsid w:val="00646D99"/>
    <w:rsid w:val="00656910"/>
    <w:rsid w:val="006C66D8"/>
    <w:rsid w:val="006D1E24"/>
    <w:rsid w:val="006E1417"/>
    <w:rsid w:val="006E35C8"/>
    <w:rsid w:val="006F6A2C"/>
    <w:rsid w:val="006F74AA"/>
    <w:rsid w:val="00710201"/>
    <w:rsid w:val="0071383F"/>
    <w:rsid w:val="00734A5B"/>
    <w:rsid w:val="00744E76"/>
    <w:rsid w:val="00757D40"/>
    <w:rsid w:val="00774900"/>
    <w:rsid w:val="00781F0F"/>
    <w:rsid w:val="0078727C"/>
    <w:rsid w:val="0079049D"/>
    <w:rsid w:val="007B18D8"/>
    <w:rsid w:val="007C095F"/>
    <w:rsid w:val="007E764B"/>
    <w:rsid w:val="008003C4"/>
    <w:rsid w:val="008028A4"/>
    <w:rsid w:val="00813245"/>
    <w:rsid w:val="00840ECE"/>
    <w:rsid w:val="008768CA"/>
    <w:rsid w:val="00877EF9"/>
    <w:rsid w:val="00880559"/>
    <w:rsid w:val="00895400"/>
    <w:rsid w:val="008B5306"/>
    <w:rsid w:val="0090271F"/>
    <w:rsid w:val="00902DB9"/>
    <w:rsid w:val="0090466A"/>
    <w:rsid w:val="0092616E"/>
    <w:rsid w:val="00936071"/>
    <w:rsid w:val="00940212"/>
    <w:rsid w:val="00942EC2"/>
    <w:rsid w:val="00961B32"/>
    <w:rsid w:val="00970DB3"/>
    <w:rsid w:val="00974BB0"/>
    <w:rsid w:val="009A03C2"/>
    <w:rsid w:val="009A0AF3"/>
    <w:rsid w:val="009B07CD"/>
    <w:rsid w:val="009C19E9"/>
    <w:rsid w:val="00A056AC"/>
    <w:rsid w:val="00A10F02"/>
    <w:rsid w:val="00A204CA"/>
    <w:rsid w:val="00A368A1"/>
    <w:rsid w:val="00A419B6"/>
    <w:rsid w:val="00A53724"/>
    <w:rsid w:val="00A82346"/>
    <w:rsid w:val="00A90567"/>
    <w:rsid w:val="00A9385A"/>
    <w:rsid w:val="00A9671C"/>
    <w:rsid w:val="00AA1553"/>
    <w:rsid w:val="00AA34AD"/>
    <w:rsid w:val="00AE6DCD"/>
    <w:rsid w:val="00B15449"/>
    <w:rsid w:val="00B40B42"/>
    <w:rsid w:val="00B47FD1"/>
    <w:rsid w:val="00B516BB"/>
    <w:rsid w:val="00B701B4"/>
    <w:rsid w:val="00B87440"/>
    <w:rsid w:val="00B95878"/>
    <w:rsid w:val="00BC3C65"/>
    <w:rsid w:val="00BD7C78"/>
    <w:rsid w:val="00C12B51"/>
    <w:rsid w:val="00C210CA"/>
    <w:rsid w:val="00C24650"/>
    <w:rsid w:val="00C33079"/>
    <w:rsid w:val="00C6083F"/>
    <w:rsid w:val="00C83A13"/>
    <w:rsid w:val="00C9068C"/>
    <w:rsid w:val="00C92967"/>
    <w:rsid w:val="00C96E50"/>
    <w:rsid w:val="00CA3D0C"/>
    <w:rsid w:val="00CA654B"/>
    <w:rsid w:val="00CC37B9"/>
    <w:rsid w:val="00CD4C7B"/>
    <w:rsid w:val="00CF007A"/>
    <w:rsid w:val="00D15E27"/>
    <w:rsid w:val="00D346A2"/>
    <w:rsid w:val="00D738D6"/>
    <w:rsid w:val="00D80795"/>
    <w:rsid w:val="00D854BE"/>
    <w:rsid w:val="00D87E00"/>
    <w:rsid w:val="00D9134D"/>
    <w:rsid w:val="00D96D11"/>
    <w:rsid w:val="00DA7A03"/>
    <w:rsid w:val="00DB1818"/>
    <w:rsid w:val="00DC309B"/>
    <w:rsid w:val="00DC4DA2"/>
    <w:rsid w:val="00DD325A"/>
    <w:rsid w:val="00E02CFC"/>
    <w:rsid w:val="00E071E0"/>
    <w:rsid w:val="00E178FC"/>
    <w:rsid w:val="00E62830"/>
    <w:rsid w:val="00E62835"/>
    <w:rsid w:val="00E77645"/>
    <w:rsid w:val="00E8116E"/>
    <w:rsid w:val="00E83697"/>
    <w:rsid w:val="00EC4A25"/>
    <w:rsid w:val="00ED6ADD"/>
    <w:rsid w:val="00F025A2"/>
    <w:rsid w:val="00F07388"/>
    <w:rsid w:val="00F2026E"/>
    <w:rsid w:val="00F2210A"/>
    <w:rsid w:val="00F37743"/>
    <w:rsid w:val="00F54A3D"/>
    <w:rsid w:val="00F54CB0"/>
    <w:rsid w:val="00F63168"/>
    <w:rsid w:val="00F638E2"/>
    <w:rsid w:val="00F6488D"/>
    <w:rsid w:val="00F653B8"/>
    <w:rsid w:val="00F71B89"/>
    <w:rsid w:val="00F7353C"/>
    <w:rsid w:val="00F76F8F"/>
    <w:rsid w:val="00FA1266"/>
    <w:rsid w:val="00FB36FA"/>
    <w:rsid w:val="00FC1192"/>
    <w:rsid w:val="00FC5BA7"/>
    <w:rsid w:val="00FD5F6F"/>
    <w:rsid w:val="00FF4F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9744DE5"/>
  <w15:chartTrackingRefBased/>
  <w15:docId w15:val="{6114731B-865E-42E2-B40F-B53C4D413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character" w:styleId="CommentReference">
    <w:name w:val="annotation reference"/>
    <w:basedOn w:val="DefaultParagraphFont"/>
    <w:rsid w:val="00FD5F6F"/>
    <w:rPr>
      <w:sz w:val="16"/>
      <w:szCs w:val="16"/>
    </w:rPr>
  </w:style>
  <w:style w:type="paragraph" w:styleId="CommentText">
    <w:name w:val="annotation text"/>
    <w:basedOn w:val="Normal"/>
    <w:link w:val="CommentTextChar"/>
    <w:rsid w:val="00FD5F6F"/>
  </w:style>
  <w:style w:type="character" w:customStyle="1" w:styleId="CommentTextChar">
    <w:name w:val="Comment Text Char"/>
    <w:basedOn w:val="DefaultParagraphFont"/>
    <w:link w:val="CommentText"/>
    <w:rsid w:val="00FD5F6F"/>
    <w:rPr>
      <w:lang w:eastAsia="en-US"/>
    </w:rPr>
  </w:style>
  <w:style w:type="paragraph" w:styleId="CommentSubject">
    <w:name w:val="annotation subject"/>
    <w:basedOn w:val="CommentText"/>
    <w:next w:val="CommentText"/>
    <w:link w:val="CommentSubjectChar"/>
    <w:rsid w:val="00FD5F6F"/>
    <w:rPr>
      <w:b/>
      <w:bCs/>
    </w:rPr>
  </w:style>
  <w:style w:type="character" w:customStyle="1" w:styleId="CommentSubjectChar">
    <w:name w:val="Comment Subject Char"/>
    <w:basedOn w:val="CommentTextChar"/>
    <w:link w:val="CommentSubject"/>
    <w:rsid w:val="00FD5F6F"/>
    <w:rPr>
      <w:b/>
      <w:bCs/>
      <w:lang w:eastAsia="en-US"/>
    </w:rPr>
  </w:style>
  <w:style w:type="paragraph" w:styleId="BalloonText">
    <w:name w:val="Balloon Text"/>
    <w:basedOn w:val="Normal"/>
    <w:link w:val="BalloonTextChar"/>
    <w:rsid w:val="00FD5F6F"/>
    <w:pPr>
      <w:spacing w:after="0"/>
    </w:pPr>
    <w:rPr>
      <w:rFonts w:ascii="Segoe UI" w:hAnsi="Segoe UI" w:cs="Segoe UI"/>
      <w:sz w:val="18"/>
      <w:szCs w:val="18"/>
    </w:rPr>
  </w:style>
  <w:style w:type="character" w:customStyle="1" w:styleId="BalloonTextChar">
    <w:name w:val="Balloon Text Char"/>
    <w:basedOn w:val="DefaultParagraphFont"/>
    <w:link w:val="BalloonText"/>
    <w:rsid w:val="00FD5F6F"/>
    <w:rPr>
      <w:rFonts w:ascii="Segoe UI" w:hAnsi="Segoe UI" w:cs="Segoe UI"/>
      <w:sz w:val="18"/>
      <w:szCs w:val="18"/>
      <w:lang w:eastAsia="en-US"/>
    </w:rPr>
  </w:style>
  <w:style w:type="paragraph" w:styleId="Revision">
    <w:name w:val="Revision"/>
    <w:hidden/>
    <w:uiPriority w:val="99"/>
    <w:semiHidden/>
    <w:rsid w:val="00FD5F6F"/>
    <w:rPr>
      <w:lang w:eastAsia="en-US"/>
    </w:rPr>
  </w:style>
  <w:style w:type="character" w:styleId="FollowedHyperlink">
    <w:name w:val="FollowedHyperlink"/>
    <w:basedOn w:val="DefaultParagraphFont"/>
    <w:rsid w:val="00FD5F6F"/>
    <w:rPr>
      <w:color w:val="954F72" w:themeColor="followedHyperlink"/>
      <w:u w:val="single"/>
    </w:rPr>
  </w:style>
  <w:style w:type="character" w:styleId="Mention">
    <w:name w:val="Mention"/>
    <w:basedOn w:val="DefaultParagraphFont"/>
    <w:uiPriority w:val="99"/>
    <w:semiHidden/>
    <w:unhideWhenUsed/>
    <w:rsid w:val="00FD5F6F"/>
    <w:rPr>
      <w:color w:val="2B579A"/>
      <w:shd w:val="clear" w:color="auto" w:fill="E6E6E6"/>
    </w:rPr>
  </w:style>
  <w:style w:type="paragraph" w:customStyle="1" w:styleId="Doc-text2">
    <w:name w:val="Doc-text2"/>
    <w:basedOn w:val="Normal"/>
    <w:link w:val="Doc-text2Char"/>
    <w:qFormat/>
    <w:rsid w:val="005C07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C07D2"/>
    <w:rPr>
      <w:rFonts w:ascii="Arial" w:eastAsia="MS Mincho" w:hAnsi="Arial"/>
      <w:szCs w:val="24"/>
    </w:rPr>
  </w:style>
  <w:style w:type="paragraph" w:styleId="ListParagraph">
    <w:name w:val="List Paragraph"/>
    <w:basedOn w:val="Normal"/>
    <w:uiPriority w:val="34"/>
    <w:qFormat/>
    <w:rsid w:val="005C07D2"/>
    <w:pPr>
      <w:spacing w:after="0"/>
      <w:ind w:left="720"/>
      <w:contextualSpacing/>
    </w:pPr>
    <w:rPr>
      <w:rFonts w:ascii="Arial" w:hAnsi="Arial"/>
      <w:sz w:val="22"/>
      <w:lang w:val="en-US"/>
    </w:rPr>
  </w:style>
  <w:style w:type="paragraph" w:customStyle="1" w:styleId="ColorfulList-Accent11">
    <w:name w:val="Colorful List - Accent 11"/>
    <w:basedOn w:val="Normal"/>
    <w:uiPriority w:val="34"/>
    <w:qFormat/>
    <w:rsid w:val="00BD7C78"/>
    <w:pPr>
      <w:spacing w:after="0"/>
      <w:ind w:left="720"/>
      <w:contextualSpacing/>
    </w:pPr>
    <w:rPr>
      <w:rFonts w:ascii="Arial" w:hAnsi="Arial"/>
      <w:sz w:val="22"/>
      <w:lang w:val="en-US"/>
    </w:rPr>
  </w:style>
  <w:style w:type="character" w:customStyle="1" w:styleId="THChar">
    <w:name w:val="TH Char"/>
    <w:basedOn w:val="DefaultParagraphFont"/>
    <w:link w:val="TH"/>
    <w:rsid w:val="003922F6"/>
    <w:rPr>
      <w:rFonts w:ascii="Arial" w:hAnsi="Arial"/>
      <w:b/>
      <w:lang w:eastAsia="en-US"/>
    </w:rPr>
  </w:style>
  <w:style w:type="character" w:styleId="UnresolvedMention">
    <w:name w:val="Unresolved Mention"/>
    <w:basedOn w:val="DefaultParagraphFont"/>
    <w:uiPriority w:val="99"/>
    <w:semiHidden/>
    <w:unhideWhenUsed/>
    <w:rsid w:val="00B87440"/>
    <w:rPr>
      <w:color w:val="808080"/>
      <w:shd w:val="clear" w:color="auto" w:fill="E6E6E6"/>
    </w:rPr>
  </w:style>
  <w:style w:type="table" w:styleId="TableGrid">
    <w:name w:val="Table Grid"/>
    <w:basedOn w:val="TableNormal"/>
    <w:rsid w:val="00B874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DefaultParagraphFont"/>
    <w:link w:val="TAL"/>
    <w:rsid w:val="00895400"/>
    <w:rPr>
      <w:rFonts w:ascii="Arial" w:hAnsi="Arial"/>
      <w:sz w:val="18"/>
      <w:lang w:eastAsia="en-US"/>
    </w:rPr>
  </w:style>
  <w:style w:type="paragraph" w:styleId="Caption">
    <w:name w:val="caption"/>
    <w:basedOn w:val="Normal"/>
    <w:next w:val="Normal"/>
    <w:unhideWhenUsed/>
    <w:qFormat/>
    <w:rsid w:val="00ED6ADD"/>
    <w:pPr>
      <w:spacing w:after="200"/>
    </w:pPr>
    <w:rPr>
      <w:i/>
      <w:iCs/>
      <w:color w:val="44546A" w:themeColor="text2"/>
      <w:sz w:val="18"/>
      <w:szCs w:val="18"/>
    </w:rPr>
  </w:style>
  <w:style w:type="character" w:customStyle="1" w:styleId="PLChar">
    <w:name w:val="PL Char"/>
    <w:link w:val="PL"/>
    <w:rsid w:val="00ED6ADD"/>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83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AHs/2017_06_NR/Docs/R2-1706603.zip" TargetMode="External"/><Relationship Id="rId18" Type="http://schemas.openxmlformats.org/officeDocument/2006/relationships/oleObject" Target="embeddings/oleObject2.bin"/><Relationship Id="rId26" Type="http://schemas.openxmlformats.org/officeDocument/2006/relationships/hyperlink" Target="http://www.3gpp.org/ftp/tsg_ran/WG2_RL2/TSGR2_99/Docs/R2-1709247.zip" TargetMode="Externa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yperlink" Target="http://3gpp.org/ftp/tsg_ran/WG2_RL2/TSGR2_AHs/2017_06_NR/Docs/R2-1707484.zip" TargetMode="External"/><Relationship Id="rId17" Type="http://schemas.openxmlformats.org/officeDocument/2006/relationships/image" Target="media/image3.emf"/><Relationship Id="rId25" Type="http://schemas.openxmlformats.org/officeDocument/2006/relationships/hyperlink" Target="http://3gpp.org/ftp/tsg_ran/WG2_RL2/TSGR2_AHs/2017_06_NR/Docs/R2-1706859.zip"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3gpp.org/ftp/tsg_ran/WG2_RL2/TSGR2_89/Docs/R2-150126.zip" TargetMode="Externa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http://3gpp.org/ftp/tsg_ran/TSG_RAN/TSGR_76/LSout/RP-171480.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gif"/><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SP-5AIRPNAIUNRU-859666464-547</_dlc_DocId>
    <_dlc_DocIdUrl xmlns="71c5aaf6-e6ce-465b-b873-5148d2a4c105">
      <Url>https://nokia.sharepoint.com/sites/c5g/e2earch/_layouts/15/DocIdRedir.aspx?ID=SP-5AIRPNAIUNRU-859666464-547</Url>
      <Description>SP-5AIRPNAIUNRU-859666464-547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D904E-30FA-44E5-B9D9-5C10ED169069}">
  <ds:schemaRefs>
    <ds:schemaRef ds:uri="http://purl.org/dc/elements/1.1/"/>
    <ds:schemaRef ds:uri="71c5aaf6-e6ce-465b-b873-5148d2a4c105"/>
    <ds:schemaRef ds:uri="http://www.w3.org/XML/1998/namespace"/>
    <ds:schemaRef ds:uri="http://purl.org/dc/dcmitype/"/>
    <ds:schemaRef ds:uri="http://schemas.microsoft.com/office/2006/metadata/properties"/>
    <ds:schemaRef ds:uri="http://purl.org/dc/terms/"/>
    <ds:schemaRef ds:uri="http://schemas.microsoft.com/office/2006/documentManagement/types"/>
    <ds:schemaRef ds:uri="83f22d2f-d16e-4be6-ad4f-29fa0b067c3c"/>
    <ds:schemaRef ds:uri="http://schemas.openxmlformats.org/package/2006/metadata/core-properties"/>
    <ds:schemaRef ds:uri="http://schemas.microsoft.com/office/infopath/2007/PartnerControls"/>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3.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4.xml><?xml version="1.0" encoding="utf-8"?>
<ds:datastoreItem xmlns:ds="http://schemas.openxmlformats.org/officeDocument/2006/customXml" ds:itemID="{993D4CD4-28E3-44A9-866C-CB0CF1795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1D50C3-9361-4036-8360-60813A462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596</TotalTime>
  <Pages>8</Pages>
  <Words>2099</Words>
  <Characters>11022</Characters>
  <Application>Microsoft Office Word</Application>
  <DocSecurity>0</DocSecurity>
  <Lines>207</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Tero Henttonen</cp:lastModifiedBy>
  <cp:revision>23</cp:revision>
  <dcterms:created xsi:type="dcterms:W3CDTF">2017-08-01T14:11:00Z</dcterms:created>
  <dcterms:modified xsi:type="dcterms:W3CDTF">2017-08-11T16:40:00Z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61e97333-8103-4a2c-9907-6c74489ddcc2</vt:lpwstr>
  </property>
</Properties>
</file>